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8D36" w14:textId="77777777" w:rsidR="00573195" w:rsidRPr="00AF7D80" w:rsidRDefault="00000000">
      <w:pPr>
        <w:pStyle w:val="P68B1DB1-Normal3"/>
        <w:jc w:val="right"/>
        <w:rPr>
          <w:lang w:val="en-US"/>
        </w:rPr>
      </w:pPr>
      <w:r w:rsidRPr="00AF7D80">
        <w:rPr>
          <w:lang w:val="en-US"/>
        </w:rPr>
        <w:t>Location and date</w:t>
      </w:r>
    </w:p>
    <w:p w14:paraId="38F841C2" w14:textId="77777777" w:rsidR="00573195" w:rsidRPr="00AF7D80" w:rsidRDefault="00000000">
      <w:pPr>
        <w:pStyle w:val="P68B1DB1-Normal4"/>
        <w:spacing w:before="240" w:after="0" w:line="276" w:lineRule="auto"/>
        <w:rPr>
          <w:lang w:val="en-US"/>
        </w:rPr>
      </w:pPr>
      <w:r w:rsidRPr="00AF7D80">
        <w:rPr>
          <w:lang w:val="en-US"/>
        </w:rPr>
        <w:t xml:space="preserve">To whom it may concern, </w:t>
      </w:r>
    </w:p>
    <w:p w14:paraId="26FF93F5" w14:textId="77777777" w:rsidR="00573195" w:rsidRPr="00AF7D80" w:rsidRDefault="00573195">
      <w:pPr>
        <w:widowControl w:val="0"/>
        <w:pBdr>
          <w:top w:val="nil"/>
          <w:left w:val="nil"/>
          <w:bottom w:val="nil"/>
          <w:right w:val="nil"/>
          <w:between w:val="nil"/>
        </w:pBdr>
        <w:spacing w:after="0" w:line="276" w:lineRule="auto"/>
        <w:jc w:val="both"/>
        <w:rPr>
          <w:color w:val="595959"/>
          <w:lang w:val="en-US"/>
        </w:rPr>
      </w:pPr>
    </w:p>
    <w:p w14:paraId="35DBE7BC" w14:textId="361C252F" w:rsidR="00573195" w:rsidRPr="00AF7D80" w:rsidRDefault="00000000">
      <w:pPr>
        <w:widowControl w:val="0"/>
        <w:pBdr>
          <w:top w:val="nil"/>
          <w:left w:val="nil"/>
          <w:bottom w:val="nil"/>
          <w:right w:val="nil"/>
          <w:between w:val="nil"/>
        </w:pBdr>
        <w:spacing w:after="240" w:line="276" w:lineRule="auto"/>
        <w:jc w:val="both"/>
        <w:rPr>
          <w:color w:val="595959"/>
          <w:lang w:val="en-US"/>
        </w:rPr>
      </w:pPr>
      <w:r w:rsidRPr="00AF7D80">
        <w:rPr>
          <w:color w:val="595959"/>
          <w:lang w:val="en-US"/>
        </w:rPr>
        <w:t xml:space="preserve">For the purpose of registering a Small Buyer, in compliance with the SPP Small Buyer Registration Procedure and by means of our currently valid SPP Certificate/Registration, we, </w:t>
      </w:r>
      <w:r w:rsidRPr="00AF7D80">
        <w:rPr>
          <w:b/>
          <w:i/>
          <w:color w:val="4F81BD"/>
          <w:highlight w:val="yellow"/>
          <w:lang w:val="en-US"/>
        </w:rPr>
        <w:t>Name of SPP Registered Final Buyer/Raw Material Distributor or SPP Certified Small Producer Organization</w:t>
      </w:r>
      <w:r w:rsidRPr="00AF7D80">
        <w:rPr>
          <w:i/>
          <w:color w:val="4F81BD"/>
          <w:lang w:val="en-US"/>
        </w:rPr>
        <w:t xml:space="preserve">, </w:t>
      </w:r>
      <w:r w:rsidRPr="00AF7D80">
        <w:rPr>
          <w:color w:val="595959"/>
          <w:lang w:val="en-US"/>
        </w:rPr>
        <w:t>declare that we fully agree to add</w:t>
      </w:r>
      <w:r w:rsidRPr="00AF7D80">
        <w:rPr>
          <w:i/>
          <w:color w:val="4F81BD"/>
          <w:lang w:val="en-US"/>
        </w:rPr>
        <w:t xml:space="preserve"> </w:t>
      </w:r>
      <w:r w:rsidRPr="00AF7D80">
        <w:rPr>
          <w:b/>
          <w:i/>
          <w:color w:val="4F81BD"/>
          <w:highlight w:val="yellow"/>
          <w:lang w:val="en-US"/>
        </w:rPr>
        <w:t>Name of Small Buyer</w:t>
      </w:r>
      <w:r w:rsidRPr="00AF7D80">
        <w:rPr>
          <w:i/>
          <w:color w:val="4F81BD"/>
          <w:lang w:val="en-US"/>
        </w:rPr>
        <w:t xml:space="preserve"> </w:t>
      </w:r>
      <w:r w:rsidRPr="00AF7D80">
        <w:rPr>
          <w:color w:val="595959"/>
          <w:lang w:val="en-US"/>
        </w:rPr>
        <w:t>to our SPP Registration/Certificate</w:t>
      </w:r>
      <w:r w:rsidR="00AF7D80">
        <w:rPr>
          <w:color w:val="595959"/>
          <w:lang w:val="en-US"/>
        </w:rPr>
        <w:t xml:space="preserve">, </w:t>
      </w:r>
      <w:r w:rsidRPr="00AF7D80">
        <w:rPr>
          <w:color w:val="595959"/>
          <w:lang w:val="en-US"/>
        </w:rPr>
        <w:t>and we also declare that we comply with the requirements shown below:</w:t>
      </w:r>
    </w:p>
    <w:tbl>
      <w:tblPr>
        <w:tblW w:w="10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430"/>
      </w:tblGrid>
      <w:tr w:rsidR="00573195" w:rsidRPr="00AF7D80" w14:paraId="5F0A7739" w14:textId="77777777" w:rsidTr="00AF7D80">
        <w:trPr>
          <w:trHeight w:val="465"/>
          <w:jc w:val="center"/>
        </w:trPr>
        <w:tc>
          <w:tcPr>
            <w:tcW w:w="846" w:type="dxa"/>
            <w:shd w:val="clear" w:color="auto" w:fill="B6DDE8"/>
          </w:tcPr>
          <w:p w14:paraId="5055E6F2" w14:textId="77777777" w:rsidR="00573195" w:rsidRPr="00AF7D80" w:rsidRDefault="00000000">
            <w:pPr>
              <w:pStyle w:val="P68B1DB1-Normal5"/>
              <w:widowControl w:val="0"/>
              <w:pBdr>
                <w:top w:val="nil"/>
                <w:left w:val="nil"/>
                <w:bottom w:val="nil"/>
                <w:right w:val="nil"/>
                <w:between w:val="nil"/>
              </w:pBdr>
              <w:spacing w:before="117" w:line="276" w:lineRule="auto"/>
              <w:jc w:val="right"/>
              <w:rPr>
                <w:lang w:val="en-US"/>
              </w:rPr>
            </w:pPr>
            <w:r w:rsidRPr="00AF7D80">
              <w:rPr>
                <w:lang w:val="en-US"/>
              </w:rPr>
              <w:t>5</w:t>
            </w:r>
          </w:p>
        </w:tc>
        <w:tc>
          <w:tcPr>
            <w:tcW w:w="9430" w:type="dxa"/>
            <w:shd w:val="clear" w:color="auto" w:fill="B6DDE8"/>
          </w:tcPr>
          <w:p w14:paraId="0A89AEFB" w14:textId="77777777" w:rsidR="00573195" w:rsidRPr="00AF7D80" w:rsidRDefault="00000000">
            <w:pPr>
              <w:pStyle w:val="P68B1DB1-Normal5"/>
              <w:widowControl w:val="0"/>
              <w:pBdr>
                <w:top w:val="nil"/>
                <w:left w:val="nil"/>
                <w:bottom w:val="nil"/>
                <w:right w:val="nil"/>
                <w:between w:val="nil"/>
              </w:pBdr>
              <w:spacing w:before="117" w:line="276" w:lineRule="auto"/>
              <w:rPr>
                <w:lang w:val="en-US"/>
              </w:rPr>
            </w:pPr>
            <w:r w:rsidRPr="00AF7D80">
              <w:rPr>
                <w:lang w:val="en-US"/>
              </w:rPr>
              <w:t>Requirements to register a Small Buyer:</w:t>
            </w:r>
          </w:p>
        </w:tc>
      </w:tr>
      <w:tr w:rsidR="00573195" w:rsidRPr="00AF7D80" w14:paraId="2C785B22" w14:textId="77777777" w:rsidTr="00AF7D80">
        <w:trPr>
          <w:trHeight w:val="806"/>
          <w:jc w:val="center"/>
        </w:trPr>
        <w:tc>
          <w:tcPr>
            <w:tcW w:w="846" w:type="dxa"/>
            <w:vAlign w:val="center"/>
          </w:tcPr>
          <w:p w14:paraId="2F8CADB5" w14:textId="77777777" w:rsidR="00573195" w:rsidRPr="00AF7D80" w:rsidRDefault="00000000">
            <w:pPr>
              <w:pStyle w:val="P68B1DB1-Normal4"/>
              <w:widowControl w:val="0"/>
              <w:pBdr>
                <w:top w:val="nil"/>
                <w:left w:val="nil"/>
                <w:bottom w:val="nil"/>
                <w:right w:val="nil"/>
                <w:between w:val="nil"/>
              </w:pBdr>
              <w:spacing w:before="117" w:line="276" w:lineRule="auto"/>
              <w:rPr>
                <w:lang w:val="en-US"/>
              </w:rPr>
            </w:pPr>
            <w:r w:rsidRPr="00AF7D80">
              <w:rPr>
                <w:lang w:val="en-US"/>
              </w:rPr>
              <w:t>5.2.1</w:t>
            </w:r>
          </w:p>
        </w:tc>
        <w:tc>
          <w:tcPr>
            <w:tcW w:w="9430" w:type="dxa"/>
            <w:vAlign w:val="center"/>
          </w:tcPr>
          <w:p w14:paraId="42F0D717" w14:textId="23361145" w:rsidR="00573195" w:rsidRPr="00AF7D80" w:rsidRDefault="00000000">
            <w:pPr>
              <w:pStyle w:val="P68B1DB1-Normal4"/>
              <w:pBdr>
                <w:top w:val="nil"/>
                <w:left w:val="nil"/>
                <w:bottom w:val="nil"/>
                <w:right w:val="nil"/>
                <w:between w:val="nil"/>
              </w:pBdr>
              <w:spacing w:before="120" w:after="120" w:line="276" w:lineRule="auto"/>
              <w:ind w:hanging="3"/>
              <w:rPr>
                <w:i/>
                <w:lang w:val="en-US"/>
              </w:rPr>
            </w:pPr>
            <w:r w:rsidRPr="00AF7D80">
              <w:rPr>
                <w:lang w:val="en-US"/>
              </w:rPr>
              <w:t>Have a currently valid SPP Final Buyer Registration, a currently valid SPP Raw Material Distributor Registration or a currently valid SPP Small Producer Organization Certificate.</w:t>
            </w:r>
          </w:p>
        </w:tc>
      </w:tr>
      <w:tr w:rsidR="00573195" w:rsidRPr="00AF7D80" w14:paraId="185DDEEF" w14:textId="77777777" w:rsidTr="00AF7D80">
        <w:trPr>
          <w:trHeight w:val="646"/>
          <w:jc w:val="center"/>
        </w:trPr>
        <w:tc>
          <w:tcPr>
            <w:tcW w:w="846" w:type="dxa"/>
            <w:vAlign w:val="center"/>
          </w:tcPr>
          <w:p w14:paraId="204CEFA9" w14:textId="77777777" w:rsidR="00573195" w:rsidRPr="00AF7D80" w:rsidRDefault="00000000">
            <w:pPr>
              <w:pStyle w:val="P68B1DB1-Normal4"/>
              <w:widowControl w:val="0"/>
              <w:pBdr>
                <w:top w:val="nil"/>
                <w:left w:val="nil"/>
                <w:bottom w:val="nil"/>
                <w:right w:val="nil"/>
                <w:between w:val="nil"/>
              </w:pBdr>
              <w:spacing w:before="117" w:after="240" w:line="276" w:lineRule="auto"/>
              <w:rPr>
                <w:lang w:val="en-US"/>
              </w:rPr>
            </w:pPr>
            <w:r w:rsidRPr="00AF7D80">
              <w:rPr>
                <w:lang w:val="en-US"/>
              </w:rPr>
              <w:t>5.2.2</w:t>
            </w:r>
          </w:p>
        </w:tc>
        <w:tc>
          <w:tcPr>
            <w:tcW w:w="9430" w:type="dxa"/>
            <w:vAlign w:val="center"/>
          </w:tcPr>
          <w:p w14:paraId="4292E4BC" w14:textId="77777777" w:rsidR="00573195" w:rsidRPr="00AF7D80" w:rsidRDefault="00000000">
            <w:pPr>
              <w:pStyle w:val="P68B1DB1-Normal4"/>
              <w:spacing w:after="120" w:line="276" w:lineRule="auto"/>
              <w:rPr>
                <w:lang w:val="en-US"/>
              </w:rPr>
            </w:pPr>
            <w:r w:rsidRPr="00AF7D80">
              <w:rPr>
                <w:lang w:val="en-US"/>
              </w:rPr>
              <w:t xml:space="preserve">In the case of composite products sold to end consumers, chapter 6.6 "Origin Criteria" of the SPP General Standard and the SPP Regulations on Graphics in force both apply. </w:t>
            </w:r>
          </w:p>
        </w:tc>
      </w:tr>
      <w:tr w:rsidR="00573195" w:rsidRPr="00AF7D80" w14:paraId="645AE342" w14:textId="77777777" w:rsidTr="00AF7D80">
        <w:trPr>
          <w:trHeight w:val="744"/>
          <w:jc w:val="center"/>
        </w:trPr>
        <w:tc>
          <w:tcPr>
            <w:tcW w:w="846" w:type="dxa"/>
            <w:vAlign w:val="center"/>
          </w:tcPr>
          <w:p w14:paraId="643E3A1C" w14:textId="77777777" w:rsidR="00573195" w:rsidRPr="00AF7D80" w:rsidRDefault="00000000">
            <w:pPr>
              <w:pStyle w:val="P68B1DB1-Normal4"/>
              <w:widowControl w:val="0"/>
              <w:pBdr>
                <w:top w:val="nil"/>
                <w:left w:val="nil"/>
                <w:bottom w:val="nil"/>
                <w:right w:val="nil"/>
                <w:between w:val="nil"/>
              </w:pBdr>
              <w:spacing w:before="117" w:after="240" w:line="276" w:lineRule="auto"/>
              <w:rPr>
                <w:lang w:val="en-US"/>
              </w:rPr>
            </w:pPr>
            <w:r w:rsidRPr="00AF7D80">
              <w:rPr>
                <w:lang w:val="en-US"/>
              </w:rPr>
              <w:t>5.2.3</w:t>
            </w:r>
          </w:p>
        </w:tc>
        <w:tc>
          <w:tcPr>
            <w:tcW w:w="9430" w:type="dxa"/>
            <w:vAlign w:val="center"/>
          </w:tcPr>
          <w:p w14:paraId="4248225B" w14:textId="77777777" w:rsidR="00573195" w:rsidRPr="00AF7D80" w:rsidRDefault="00000000">
            <w:pPr>
              <w:pStyle w:val="P68B1DB1-Normal4"/>
              <w:spacing w:line="276" w:lineRule="auto"/>
              <w:rPr>
                <w:lang w:val="en-US"/>
              </w:rPr>
            </w:pPr>
            <w:bookmarkStart w:id="0" w:name="_heading=h.gjdgxs" w:colFirst="0" w:colLast="0"/>
            <w:bookmarkEnd w:id="0"/>
            <w:r w:rsidRPr="00AF7D80">
              <w:rPr>
                <w:lang w:val="en-US"/>
              </w:rPr>
              <w:t>Undertake to ensure physical and administrative traceability of SPP products, concerning both the SPP products you buy from SPP suppliers, as well as the SPP products you sell to Small Buyers. All purchases/sales must be reported to SPP Global.</w:t>
            </w:r>
          </w:p>
        </w:tc>
      </w:tr>
      <w:tr w:rsidR="00573195" w:rsidRPr="00AF7D80" w14:paraId="4B98CF8C" w14:textId="77777777" w:rsidTr="00AF7D80">
        <w:trPr>
          <w:trHeight w:val="841"/>
          <w:jc w:val="center"/>
        </w:trPr>
        <w:tc>
          <w:tcPr>
            <w:tcW w:w="846" w:type="dxa"/>
            <w:vAlign w:val="center"/>
          </w:tcPr>
          <w:p w14:paraId="0DCD51E4" w14:textId="77777777" w:rsidR="00573195" w:rsidRPr="00AF7D80" w:rsidRDefault="00000000">
            <w:pPr>
              <w:pStyle w:val="P68B1DB1-Normal4"/>
              <w:widowControl w:val="0"/>
              <w:pBdr>
                <w:top w:val="nil"/>
                <w:left w:val="nil"/>
                <w:bottom w:val="nil"/>
                <w:right w:val="nil"/>
                <w:between w:val="nil"/>
              </w:pBdr>
              <w:spacing w:before="117" w:line="276" w:lineRule="auto"/>
              <w:rPr>
                <w:lang w:val="en-US"/>
              </w:rPr>
            </w:pPr>
            <w:r w:rsidRPr="00AF7D80">
              <w:rPr>
                <w:lang w:val="en-US"/>
              </w:rPr>
              <w:t>5.2.4</w:t>
            </w:r>
          </w:p>
        </w:tc>
        <w:tc>
          <w:tcPr>
            <w:tcW w:w="9430" w:type="dxa"/>
            <w:vAlign w:val="center"/>
          </w:tcPr>
          <w:p w14:paraId="18CB556C" w14:textId="77777777" w:rsidR="00573195" w:rsidRPr="00AF7D80" w:rsidRDefault="00000000">
            <w:pPr>
              <w:pStyle w:val="P68B1DB1-Normal4"/>
              <w:spacing w:line="276" w:lineRule="auto"/>
              <w:rPr>
                <w:lang w:val="en-US"/>
              </w:rPr>
            </w:pPr>
            <w:r w:rsidRPr="00AF7D80">
              <w:rPr>
                <w:lang w:val="en-US"/>
              </w:rPr>
              <w:t xml:space="preserve">Final Buyers and Raw Material Distributors must pay SPP Global corresponding SPP User Fees for the products they sell to any Small Buyer having a valid SPP registration. </w:t>
            </w:r>
            <w:r w:rsidRPr="00AF7D80">
              <w:rPr>
                <w:b/>
                <w:lang w:val="en-US"/>
              </w:rPr>
              <w:t>*</w:t>
            </w:r>
            <w:r w:rsidRPr="00AF7D80">
              <w:rPr>
                <w:b/>
                <w:i/>
                <w:lang w:val="en-US"/>
              </w:rPr>
              <w:t xml:space="preserve">This does not apply to Small Producer Organizations </w:t>
            </w:r>
          </w:p>
        </w:tc>
      </w:tr>
    </w:tbl>
    <w:p w14:paraId="405F1A5B" w14:textId="77777777" w:rsidR="00573195" w:rsidRPr="00AF7D80" w:rsidRDefault="00573195">
      <w:pPr>
        <w:spacing w:before="120" w:line="276" w:lineRule="auto"/>
        <w:jc w:val="both"/>
        <w:rPr>
          <w:color w:val="595959"/>
          <w:lang w:val="en-US"/>
        </w:rPr>
      </w:pPr>
    </w:p>
    <w:p w14:paraId="1B82EF80" w14:textId="0CF5DD8B" w:rsidR="00573195" w:rsidRPr="00AF7D80" w:rsidRDefault="00000000">
      <w:pPr>
        <w:spacing w:before="120" w:line="276" w:lineRule="auto"/>
        <w:jc w:val="both"/>
        <w:rPr>
          <w:color w:val="595959"/>
          <w:lang w:val="en-US"/>
        </w:rPr>
      </w:pPr>
      <w:r w:rsidRPr="00AF7D80">
        <w:rPr>
          <w:color w:val="595959"/>
          <w:lang w:val="en-US"/>
        </w:rPr>
        <w:t xml:space="preserve">We also declare that </w:t>
      </w:r>
      <w:proofErr w:type="gramStart"/>
      <w:r w:rsidRPr="00AF7D80">
        <w:rPr>
          <w:b/>
          <w:i/>
          <w:color w:val="4F81BD"/>
          <w:highlight w:val="yellow"/>
          <w:lang w:val="en-US"/>
        </w:rPr>
        <w:t>Name</w:t>
      </w:r>
      <w:proofErr w:type="gramEnd"/>
      <w:r w:rsidRPr="00AF7D80">
        <w:rPr>
          <w:b/>
          <w:i/>
          <w:color w:val="4F81BD"/>
          <w:highlight w:val="yellow"/>
          <w:lang w:val="en-US"/>
        </w:rPr>
        <w:t xml:space="preserve"> of Small Buyer</w:t>
      </w:r>
      <w:r w:rsidRPr="00AF7D80">
        <w:rPr>
          <w:color w:val="595959"/>
          <w:lang w:val="en-US"/>
        </w:rPr>
        <w:t>, to the best of our knowledge, complies with the following:</w:t>
      </w:r>
    </w:p>
    <w:p w14:paraId="092ABE32" w14:textId="77777777" w:rsidR="00573195" w:rsidRPr="00AF7D80" w:rsidRDefault="00000000">
      <w:pPr>
        <w:pStyle w:val="P68B1DB1-Normal4"/>
        <w:numPr>
          <w:ilvl w:val="0"/>
          <w:numId w:val="2"/>
        </w:numPr>
        <w:pBdr>
          <w:top w:val="nil"/>
          <w:left w:val="nil"/>
          <w:bottom w:val="nil"/>
          <w:right w:val="nil"/>
          <w:between w:val="nil"/>
        </w:pBdr>
        <w:spacing w:before="120" w:after="120" w:line="276" w:lineRule="auto"/>
        <w:ind w:left="714" w:right="0" w:hanging="357"/>
        <w:jc w:val="both"/>
        <w:rPr>
          <w:lang w:val="en-US"/>
        </w:rPr>
      </w:pPr>
      <w:proofErr w:type="gramStart"/>
      <w:r w:rsidRPr="00AF7D80">
        <w:rPr>
          <w:lang w:val="en-US"/>
        </w:rPr>
        <w:t>The SPP</w:t>
      </w:r>
      <w:proofErr w:type="gramEnd"/>
      <w:r w:rsidRPr="00AF7D80">
        <w:rPr>
          <w:lang w:val="en-US"/>
        </w:rPr>
        <w:t xml:space="preserve"> Principles and Values</w:t>
      </w:r>
    </w:p>
    <w:p w14:paraId="47CF3C96" w14:textId="70BD49C3" w:rsidR="00573195" w:rsidRPr="00AF7D80" w:rsidRDefault="00000000">
      <w:pPr>
        <w:pStyle w:val="P68B1DB1-Normal4"/>
        <w:numPr>
          <w:ilvl w:val="0"/>
          <w:numId w:val="2"/>
        </w:numPr>
        <w:pBdr>
          <w:top w:val="nil"/>
          <w:left w:val="nil"/>
          <w:bottom w:val="nil"/>
          <w:right w:val="nil"/>
          <w:between w:val="nil"/>
        </w:pBdr>
        <w:spacing w:before="120" w:after="120" w:line="276" w:lineRule="auto"/>
        <w:ind w:left="714" w:right="0" w:hanging="357"/>
        <w:jc w:val="both"/>
        <w:rPr>
          <w:lang w:val="en-US"/>
        </w:rPr>
      </w:pPr>
      <w:r w:rsidRPr="00AF7D80">
        <w:rPr>
          <w:lang w:val="en-US"/>
        </w:rPr>
        <w:t xml:space="preserve">Chapter 6.1 “Contract” and Chapter 6.2 “SPP Price System” of the SPP General Standard </w:t>
      </w:r>
      <w:r w:rsidRPr="00AF7D80">
        <w:rPr>
          <w:b/>
          <w:lang w:val="en-US"/>
        </w:rPr>
        <w:t>*</w:t>
      </w:r>
      <w:r w:rsidRPr="00AF7D80">
        <w:rPr>
          <w:b/>
          <w:i/>
          <w:lang w:val="en-US"/>
        </w:rPr>
        <w:t xml:space="preserve"> Only</w:t>
      </w:r>
      <w:r w:rsidR="00AF7D80">
        <w:rPr>
          <w:b/>
          <w:i/>
          <w:lang w:val="en-US"/>
        </w:rPr>
        <w:t xml:space="preserve"> when</w:t>
      </w:r>
      <w:r w:rsidRPr="00AF7D80">
        <w:rPr>
          <w:b/>
          <w:i/>
          <w:lang w:val="en-US"/>
        </w:rPr>
        <w:t xml:space="preserve"> </w:t>
      </w:r>
      <w:r w:rsidR="00AF7D80">
        <w:rPr>
          <w:b/>
          <w:i/>
          <w:lang w:val="en-US"/>
        </w:rPr>
        <w:t xml:space="preserve">a </w:t>
      </w:r>
      <w:r w:rsidRPr="00AF7D80">
        <w:rPr>
          <w:b/>
          <w:i/>
          <w:lang w:val="en-US"/>
        </w:rPr>
        <w:t>Small Producers' Organization</w:t>
      </w:r>
      <w:r w:rsidR="00AF7D80">
        <w:rPr>
          <w:b/>
          <w:i/>
          <w:lang w:val="en-US"/>
        </w:rPr>
        <w:t xml:space="preserve"> registers a Small Buyer.</w:t>
      </w:r>
    </w:p>
    <w:p w14:paraId="745417B6" w14:textId="77777777" w:rsidR="00573195" w:rsidRPr="00AF7D80" w:rsidRDefault="00000000">
      <w:pPr>
        <w:pStyle w:val="P68B1DB1-Normal4"/>
        <w:numPr>
          <w:ilvl w:val="0"/>
          <w:numId w:val="2"/>
        </w:numPr>
        <w:pBdr>
          <w:top w:val="nil"/>
          <w:left w:val="nil"/>
          <w:bottom w:val="nil"/>
          <w:right w:val="nil"/>
          <w:between w:val="nil"/>
        </w:pBdr>
        <w:spacing w:before="120" w:after="120" w:line="276" w:lineRule="auto"/>
        <w:ind w:left="714" w:right="0" w:hanging="357"/>
        <w:jc w:val="both"/>
        <w:rPr>
          <w:lang w:val="en-US"/>
        </w:rPr>
      </w:pPr>
      <w:r w:rsidRPr="00AF7D80">
        <w:rPr>
          <w:lang w:val="en-US"/>
        </w:rPr>
        <w:t xml:space="preserve">Chapter 6.6 "Origin Criteria" from </w:t>
      </w:r>
      <w:proofErr w:type="spellStart"/>
      <w:r w:rsidRPr="00AF7D80">
        <w:rPr>
          <w:lang w:val="en-US"/>
        </w:rPr>
        <w:t>SPP's</w:t>
      </w:r>
      <w:proofErr w:type="spellEnd"/>
      <w:r w:rsidRPr="00AF7D80">
        <w:rPr>
          <w:lang w:val="en-US"/>
        </w:rPr>
        <w:t xml:space="preserve"> General Standard</w:t>
      </w:r>
    </w:p>
    <w:p w14:paraId="591E9D6C" w14:textId="77777777" w:rsidR="00573195" w:rsidRPr="00AF7D80" w:rsidRDefault="00000000">
      <w:pPr>
        <w:pStyle w:val="P68B1DB1-Normal4"/>
        <w:numPr>
          <w:ilvl w:val="0"/>
          <w:numId w:val="2"/>
        </w:numPr>
        <w:pBdr>
          <w:top w:val="nil"/>
          <w:left w:val="nil"/>
          <w:bottom w:val="nil"/>
          <w:right w:val="nil"/>
          <w:between w:val="nil"/>
        </w:pBdr>
        <w:spacing w:before="120" w:after="120" w:line="276" w:lineRule="auto"/>
        <w:ind w:left="714" w:right="0" w:hanging="357"/>
        <w:jc w:val="both"/>
        <w:rPr>
          <w:lang w:val="en-US"/>
        </w:rPr>
      </w:pPr>
      <w:r w:rsidRPr="00AF7D80">
        <w:rPr>
          <w:lang w:val="en-US"/>
        </w:rPr>
        <w:t>SPP Regulations on Graphics</w:t>
      </w:r>
    </w:p>
    <w:p w14:paraId="068A1F44" w14:textId="3E4AB840" w:rsidR="00573195" w:rsidRPr="00AF7D80" w:rsidRDefault="00000000">
      <w:pPr>
        <w:pBdr>
          <w:top w:val="nil"/>
          <w:left w:val="nil"/>
          <w:bottom w:val="nil"/>
          <w:right w:val="nil"/>
          <w:between w:val="nil"/>
        </w:pBdr>
        <w:spacing w:before="120" w:line="276" w:lineRule="auto"/>
        <w:ind w:left="6"/>
        <w:jc w:val="both"/>
        <w:rPr>
          <w:b/>
          <w:color w:val="4F81BD"/>
          <w:highlight w:val="yellow"/>
          <w:lang w:val="en-US"/>
        </w:rPr>
      </w:pPr>
      <w:r w:rsidRPr="00AF7D80">
        <w:rPr>
          <w:color w:val="595959"/>
          <w:lang w:val="en-US"/>
        </w:rPr>
        <w:t xml:space="preserve">If anomalies are detected concerning </w:t>
      </w:r>
      <w:r w:rsidR="00AF7D80">
        <w:rPr>
          <w:color w:val="595959"/>
          <w:lang w:val="en-US"/>
        </w:rPr>
        <w:t xml:space="preserve">Small Buyer’s </w:t>
      </w:r>
      <w:r w:rsidRPr="00AF7D80">
        <w:rPr>
          <w:color w:val="595959"/>
          <w:lang w:val="en-US"/>
        </w:rPr>
        <w:t xml:space="preserve">compliance with the criteria described above, we agree to </w:t>
      </w:r>
      <w:r w:rsidR="00AF7D80">
        <w:rPr>
          <w:color w:val="595959"/>
          <w:lang w:val="en-US"/>
        </w:rPr>
        <w:t xml:space="preserve">have them </w:t>
      </w:r>
      <w:r w:rsidRPr="00AF7D80">
        <w:rPr>
          <w:color w:val="595959"/>
          <w:lang w:val="en-US"/>
        </w:rPr>
        <w:t>underg</w:t>
      </w:r>
      <w:r w:rsidR="00AF7D80">
        <w:rPr>
          <w:color w:val="595959"/>
          <w:lang w:val="en-US"/>
        </w:rPr>
        <w:t>o</w:t>
      </w:r>
      <w:r w:rsidRPr="00AF7D80">
        <w:rPr>
          <w:color w:val="595959"/>
          <w:lang w:val="en-US"/>
        </w:rPr>
        <w:t xml:space="preserve"> a Complete Remote Evaluation conducted by a Certification Entity. All auditing costs involved will be paid by: </w:t>
      </w:r>
      <w:r w:rsidRPr="00AF7D80">
        <w:rPr>
          <w:b/>
          <w:color w:val="4F81BD"/>
          <w:highlight w:val="yellow"/>
          <w:lang w:val="en-US"/>
        </w:rPr>
        <w:t>Indicate who will pay all audit expenses, i.e. either the Final Buyer/Raw Material Distributor or the Small Buyer.</w:t>
      </w:r>
    </w:p>
    <w:p w14:paraId="7BDE1DCF" w14:textId="4DB719F6" w:rsidR="00573195" w:rsidRPr="00AF7D80" w:rsidRDefault="00000000">
      <w:pPr>
        <w:pBdr>
          <w:top w:val="nil"/>
          <w:left w:val="nil"/>
          <w:bottom w:val="nil"/>
          <w:right w:val="nil"/>
          <w:between w:val="nil"/>
        </w:pBdr>
        <w:spacing w:before="120" w:line="276" w:lineRule="auto"/>
        <w:ind w:left="6"/>
        <w:jc w:val="both"/>
        <w:rPr>
          <w:color w:val="666666"/>
          <w:lang w:val="en-US"/>
        </w:rPr>
      </w:pPr>
      <w:bookmarkStart w:id="1" w:name="_heading=h.30j0zll" w:colFirst="0" w:colLast="0"/>
      <w:bookmarkEnd w:id="1"/>
      <w:r w:rsidRPr="00AF7D80">
        <w:rPr>
          <w:color w:val="666666"/>
          <w:lang w:val="en-US"/>
        </w:rPr>
        <w:t xml:space="preserve">Due Quarterly Reports of SPP products purchased/sold by the Small Buyer will be prepared and submitted by: </w:t>
      </w:r>
      <w:r w:rsidRPr="00AF7D80">
        <w:rPr>
          <w:b/>
          <w:color w:val="4F81BD"/>
          <w:highlight w:val="yellow"/>
          <w:lang w:val="en-US"/>
        </w:rPr>
        <w:t>Indicate who will do this, i.e. either the Final Buyer/Raw Material Distributor or the Small Buyer</w:t>
      </w:r>
      <w:r w:rsidRPr="00AF7D80">
        <w:rPr>
          <w:b/>
          <w:color w:val="4F81BD"/>
          <w:lang w:val="en-US"/>
        </w:rPr>
        <w:t xml:space="preserve"> </w:t>
      </w:r>
      <w:r w:rsidRPr="00AF7D80">
        <w:rPr>
          <w:b/>
          <w:color w:val="666666"/>
          <w:lang w:val="en-US"/>
        </w:rPr>
        <w:t>*</w:t>
      </w:r>
      <w:r w:rsidRPr="00AF7D80">
        <w:rPr>
          <w:b/>
          <w:i/>
          <w:color w:val="666666"/>
          <w:lang w:val="en-US"/>
        </w:rPr>
        <w:t>This only applies when the Small Buyer is registered by a Final Buyer</w:t>
      </w:r>
    </w:p>
    <w:p w14:paraId="132A918D" w14:textId="0E226752" w:rsidR="00573195" w:rsidRPr="00AF7D80" w:rsidRDefault="00000000">
      <w:pPr>
        <w:pBdr>
          <w:top w:val="nil"/>
          <w:left w:val="nil"/>
          <w:bottom w:val="nil"/>
          <w:right w:val="nil"/>
          <w:between w:val="nil"/>
        </w:pBdr>
        <w:spacing w:before="120" w:line="276" w:lineRule="auto"/>
        <w:jc w:val="both"/>
        <w:rPr>
          <w:color w:val="595959"/>
          <w:lang w:val="en-US"/>
        </w:rPr>
      </w:pPr>
      <w:r w:rsidRPr="00AF7D80">
        <w:rPr>
          <w:color w:val="595959"/>
          <w:lang w:val="en-US"/>
        </w:rPr>
        <w:lastRenderedPageBreak/>
        <w:t>We</w:t>
      </w:r>
      <w:r w:rsidRPr="00AF7D80">
        <w:rPr>
          <w:color w:val="4F81BD"/>
          <w:lang w:val="en-US"/>
        </w:rPr>
        <w:t>,</w:t>
      </w:r>
      <w:r w:rsidRPr="00AF7D80">
        <w:rPr>
          <w:b/>
          <w:i/>
          <w:color w:val="4F81BD"/>
          <w:highlight w:val="yellow"/>
          <w:lang w:val="en-US"/>
        </w:rPr>
        <w:t xml:space="preserve"> Name of SPP Registered Final Buyer/Raw Material Distributor or SPP Certified Producer Organization,</w:t>
      </w:r>
      <w:r w:rsidRPr="00AF7D80">
        <w:rPr>
          <w:color w:val="4F81BD"/>
          <w:lang w:val="en-US"/>
        </w:rPr>
        <w:t xml:space="preserve"> </w:t>
      </w:r>
      <w:r w:rsidRPr="00AF7D80">
        <w:rPr>
          <w:color w:val="595959"/>
          <w:lang w:val="en-US"/>
        </w:rPr>
        <w:t xml:space="preserve">undertake to monitor the transactions of the Small Buyer in question to ensure SPP product traceability; if we detect any non-compliance, we will notify </w:t>
      </w:r>
      <w:r w:rsidRPr="00AF7D80">
        <w:rPr>
          <w:b/>
          <w:i/>
          <w:color w:val="4F81BD"/>
          <w:highlight w:val="yellow"/>
          <w:lang w:val="en-US"/>
        </w:rPr>
        <w:t xml:space="preserve">Name of Small </w:t>
      </w:r>
      <w:proofErr w:type="gramStart"/>
      <w:r w:rsidRPr="00AF7D80">
        <w:rPr>
          <w:b/>
          <w:i/>
          <w:color w:val="4F81BD"/>
          <w:highlight w:val="yellow"/>
          <w:lang w:val="en-US"/>
        </w:rPr>
        <w:t>Buyer</w:t>
      </w:r>
      <w:r w:rsidRPr="00AF7D80">
        <w:rPr>
          <w:i/>
          <w:color w:val="4F81BD"/>
          <w:lang w:val="en-US"/>
        </w:rPr>
        <w:t xml:space="preserve"> </w:t>
      </w:r>
      <w:r w:rsidRPr="00AF7D80">
        <w:rPr>
          <w:color w:val="4F81BD"/>
          <w:lang w:val="en-US"/>
        </w:rPr>
        <w:t xml:space="preserve"> </w:t>
      </w:r>
      <w:r w:rsidRPr="00AF7D80">
        <w:rPr>
          <w:color w:val="595959"/>
          <w:lang w:val="en-US"/>
        </w:rPr>
        <w:t>for</w:t>
      </w:r>
      <w:proofErr w:type="gramEnd"/>
      <w:r w:rsidRPr="00AF7D80">
        <w:rPr>
          <w:color w:val="595959"/>
          <w:lang w:val="en-US"/>
        </w:rPr>
        <w:t xml:space="preserve"> correction. In case of repeated non-compliance, we will report this </w:t>
      </w:r>
      <w:r w:rsidR="00AF7D80">
        <w:rPr>
          <w:color w:val="595959"/>
          <w:lang w:val="en-US"/>
        </w:rPr>
        <w:t xml:space="preserve">situation </w:t>
      </w:r>
      <w:r w:rsidRPr="00AF7D80">
        <w:rPr>
          <w:color w:val="595959"/>
          <w:lang w:val="en-US"/>
        </w:rPr>
        <w:t>to SPP Global.</w:t>
      </w:r>
    </w:p>
    <w:p w14:paraId="631E91BB" w14:textId="77777777" w:rsidR="00573195" w:rsidRPr="00AF7D80" w:rsidRDefault="00573195">
      <w:pPr>
        <w:spacing w:before="120" w:line="276" w:lineRule="auto"/>
        <w:jc w:val="both"/>
        <w:rPr>
          <w:color w:val="595959"/>
          <w:lang w:val="en-US"/>
        </w:rPr>
      </w:pPr>
    </w:p>
    <w:p w14:paraId="26C9A606" w14:textId="7ED1B223" w:rsidR="00573195" w:rsidRPr="00AF7D80" w:rsidRDefault="00000000">
      <w:pPr>
        <w:spacing w:before="120" w:line="276" w:lineRule="auto"/>
        <w:jc w:val="both"/>
        <w:rPr>
          <w:color w:val="595959"/>
          <w:lang w:val="en-US"/>
        </w:rPr>
      </w:pPr>
      <w:r w:rsidRPr="00AF7D80">
        <w:rPr>
          <w:color w:val="595959"/>
          <w:lang w:val="en-US"/>
        </w:rPr>
        <w:t xml:space="preserve">We submit this Affidavit of Compliance from </w:t>
      </w:r>
      <w:r w:rsidRPr="00AF7D80">
        <w:rPr>
          <w:b/>
          <w:i/>
          <w:color w:val="4F81BD"/>
          <w:highlight w:val="yellow"/>
          <w:lang w:val="en-US"/>
        </w:rPr>
        <w:t>Place and Date</w:t>
      </w:r>
      <w:r w:rsidRPr="00AF7D80">
        <w:rPr>
          <w:i/>
          <w:color w:val="4F81BD"/>
          <w:lang w:val="en-US"/>
        </w:rPr>
        <w:t>,</w:t>
      </w:r>
      <w:r w:rsidRPr="00AF7D80">
        <w:rPr>
          <w:color w:val="4F81BD"/>
          <w:lang w:val="en-US"/>
        </w:rPr>
        <w:t xml:space="preserve"> </w:t>
      </w:r>
      <w:r w:rsidRPr="00AF7D80">
        <w:rPr>
          <w:color w:val="595959"/>
          <w:lang w:val="en-US"/>
        </w:rPr>
        <w:t xml:space="preserve">for the purpose of registering </w:t>
      </w:r>
      <w:r w:rsidRPr="00AF7D80">
        <w:rPr>
          <w:b/>
          <w:i/>
          <w:color w:val="4F81BD"/>
          <w:highlight w:val="yellow"/>
          <w:lang w:val="en-US"/>
        </w:rPr>
        <w:t xml:space="preserve">Name of Small Buyer </w:t>
      </w:r>
      <w:r w:rsidRPr="00AF7D80">
        <w:rPr>
          <w:color w:val="595959"/>
          <w:lang w:val="en-US"/>
        </w:rPr>
        <w:t>as one of our Small Buyers according to the provisions of the "SPP Small Buyer Registration Procedure"</w:t>
      </w:r>
    </w:p>
    <w:p w14:paraId="20F30E05" w14:textId="77777777" w:rsidR="00573195" w:rsidRPr="00AF7D80" w:rsidRDefault="00573195">
      <w:pPr>
        <w:spacing w:before="120"/>
        <w:ind w:hanging="312"/>
        <w:jc w:val="both"/>
        <w:rPr>
          <w:lang w:val="en-US"/>
        </w:rPr>
      </w:pPr>
    </w:p>
    <w:p w14:paraId="276DA77D" w14:textId="77777777" w:rsidR="00573195" w:rsidRPr="00AF7D80" w:rsidRDefault="00000000">
      <w:pPr>
        <w:pStyle w:val="P68B1DB1-Normal4"/>
        <w:spacing w:before="120"/>
        <w:jc w:val="both"/>
        <w:rPr>
          <w:lang w:val="en-US"/>
        </w:rPr>
      </w:pPr>
      <w:r w:rsidRPr="00AF7D80">
        <w:rPr>
          <w:lang w:val="en-US"/>
        </w:rPr>
        <w:t xml:space="preserve">RESPECTFULLY </w:t>
      </w:r>
    </w:p>
    <w:p w14:paraId="34BF3FCD" w14:textId="77777777" w:rsidR="00573195" w:rsidRPr="00AF7D80" w:rsidRDefault="00573195">
      <w:pPr>
        <w:spacing w:before="120"/>
        <w:jc w:val="both"/>
        <w:rPr>
          <w:color w:val="595959"/>
          <w:highlight w:val="yellow"/>
          <w:lang w:val="en-US"/>
        </w:rPr>
      </w:pPr>
    </w:p>
    <w:p w14:paraId="27FF69B3" w14:textId="77777777" w:rsidR="00573195" w:rsidRPr="00AF7D80" w:rsidRDefault="00000000">
      <w:pPr>
        <w:pStyle w:val="P68B1DB1-Normal3"/>
        <w:spacing w:before="120"/>
        <w:jc w:val="both"/>
        <w:rPr>
          <w:lang w:val="en-US"/>
        </w:rPr>
      </w:pPr>
      <w:r w:rsidRPr="00AF7D80">
        <w:rPr>
          <w:lang w:val="en-US"/>
        </w:rPr>
        <w:t>Signature</w:t>
      </w:r>
    </w:p>
    <w:p w14:paraId="0C86C3C9" w14:textId="77777777" w:rsidR="00573195" w:rsidRPr="00AF7D80" w:rsidRDefault="00573195">
      <w:pPr>
        <w:spacing w:before="120"/>
        <w:jc w:val="both"/>
        <w:rPr>
          <w:i/>
          <w:color w:val="4F81BD"/>
          <w:highlight w:val="yellow"/>
          <w:lang w:val="en-US"/>
        </w:rPr>
      </w:pPr>
    </w:p>
    <w:p w14:paraId="29119BA3" w14:textId="77777777" w:rsidR="00573195" w:rsidRPr="00AF7D80" w:rsidRDefault="00000000">
      <w:pPr>
        <w:pStyle w:val="P68B1DB1-Normal3"/>
        <w:spacing w:before="120"/>
        <w:jc w:val="both"/>
        <w:rPr>
          <w:lang w:val="en-US"/>
        </w:rPr>
      </w:pPr>
      <w:r w:rsidRPr="00AF7D80">
        <w:rPr>
          <w:lang w:val="en-US"/>
        </w:rPr>
        <w:t>Name &amp; Position of legal representative</w:t>
      </w:r>
    </w:p>
    <w:p w14:paraId="238C76BC" w14:textId="77777777" w:rsidR="00573195" w:rsidRPr="00AF7D80" w:rsidRDefault="00000000">
      <w:pPr>
        <w:pStyle w:val="P68B1DB1-Normal3"/>
        <w:spacing w:after="0"/>
        <w:jc w:val="both"/>
        <w:rPr>
          <w:lang w:val="en-US"/>
        </w:rPr>
      </w:pPr>
      <w:r w:rsidRPr="00AF7D80">
        <w:rPr>
          <w:lang w:val="en-US"/>
        </w:rPr>
        <w:t>Name of SPP Registered Final Buyer or SPP Certified Producer Organization</w:t>
      </w:r>
    </w:p>
    <w:p w14:paraId="352C6677" w14:textId="77777777" w:rsidR="00573195" w:rsidRPr="00AF7D80" w:rsidRDefault="00573195">
      <w:pPr>
        <w:widowControl w:val="0"/>
        <w:pBdr>
          <w:top w:val="nil"/>
          <w:left w:val="nil"/>
          <w:bottom w:val="nil"/>
          <w:right w:val="nil"/>
          <w:between w:val="nil"/>
        </w:pBdr>
        <w:spacing w:before="0" w:after="0" w:line="276" w:lineRule="auto"/>
        <w:ind w:right="0"/>
        <w:rPr>
          <w:lang w:val="en-US"/>
        </w:rPr>
      </w:pPr>
    </w:p>
    <w:p w14:paraId="0363BEA6" w14:textId="77777777" w:rsidR="00573195" w:rsidRPr="00AF7D80" w:rsidRDefault="00573195">
      <w:pPr>
        <w:pStyle w:val="Subttulo"/>
        <w:rPr>
          <w:lang w:val="en-US"/>
        </w:rPr>
      </w:pPr>
      <w:bookmarkStart w:id="2" w:name="_heading=h.cu762c8rsxcs" w:colFirst="0" w:colLast="0"/>
      <w:bookmarkEnd w:id="2"/>
    </w:p>
    <w:p w14:paraId="24958A7F" w14:textId="77777777" w:rsidR="00573195" w:rsidRPr="00AF7D80" w:rsidRDefault="00573195">
      <w:pPr>
        <w:rPr>
          <w:lang w:val="en-US"/>
        </w:rPr>
      </w:pPr>
    </w:p>
    <w:p w14:paraId="17EEF9B7" w14:textId="77777777" w:rsidR="00573195" w:rsidRPr="00AF7D80" w:rsidRDefault="00573195">
      <w:pPr>
        <w:rPr>
          <w:lang w:val="en-US"/>
        </w:rPr>
      </w:pPr>
    </w:p>
    <w:p w14:paraId="45EE9136" w14:textId="77777777" w:rsidR="00573195" w:rsidRPr="00AF7D80" w:rsidRDefault="00573195">
      <w:pPr>
        <w:rPr>
          <w:lang w:val="en-US"/>
        </w:rPr>
      </w:pPr>
    </w:p>
    <w:p w14:paraId="6C459324" w14:textId="77777777" w:rsidR="00573195" w:rsidRPr="00AF7D80" w:rsidRDefault="00573195">
      <w:pPr>
        <w:rPr>
          <w:lang w:val="en-US"/>
        </w:rPr>
      </w:pPr>
    </w:p>
    <w:p w14:paraId="442AB3B4" w14:textId="77777777" w:rsidR="00573195" w:rsidRPr="00AF7D80" w:rsidRDefault="00573195">
      <w:pPr>
        <w:rPr>
          <w:lang w:val="en-US"/>
        </w:rPr>
      </w:pPr>
    </w:p>
    <w:p w14:paraId="353CE253" w14:textId="77777777" w:rsidR="00573195" w:rsidRPr="00AF7D80" w:rsidRDefault="00573195">
      <w:pPr>
        <w:rPr>
          <w:lang w:val="en-US"/>
        </w:rPr>
      </w:pPr>
    </w:p>
    <w:sectPr w:rsidR="00573195" w:rsidRPr="00AF7D80">
      <w:headerReference w:type="even" r:id="rId8"/>
      <w:headerReference w:type="default" r:id="rId9"/>
      <w:footerReference w:type="even" r:id="rId10"/>
      <w:footerReference w:type="default" r:id="rId11"/>
      <w:headerReference w:type="first" r:id="rId12"/>
      <w:footerReference w:type="first" r:id="rId13"/>
      <w:pgSz w:w="12240" w:h="15840"/>
      <w:pgMar w:top="1984" w:right="566" w:bottom="283"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CAC2" w14:textId="77777777" w:rsidR="00930FFB" w:rsidRDefault="00930FFB">
      <w:pPr>
        <w:spacing w:before="0" w:after="0"/>
      </w:pPr>
      <w:r>
        <w:separator/>
      </w:r>
    </w:p>
  </w:endnote>
  <w:endnote w:type="continuationSeparator" w:id="0">
    <w:p w14:paraId="7D0A2E33" w14:textId="77777777" w:rsidR="00930FFB" w:rsidRDefault="00930F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61CB" w14:textId="77777777" w:rsidR="00573195" w:rsidRDefault="00573195">
    <w:pPr>
      <w:pBdr>
        <w:top w:val="nil"/>
        <w:left w:val="nil"/>
        <w:bottom w:val="nil"/>
        <w:right w:val="nil"/>
        <w:between w:val="nil"/>
      </w:pBdr>
      <w:tabs>
        <w:tab w:val="center" w:pos="4252"/>
        <w:tab w:val="right" w:pos="8504"/>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5658" w14:textId="77777777" w:rsidR="00573195" w:rsidRDefault="00000000">
    <w:pPr>
      <w:pStyle w:val="P68B1DB1-Normal8"/>
      <w:ind w:right="0"/>
      <w:jc w:val="right"/>
      <w:rPr>
        <w:color w:val="595959"/>
      </w:rPr>
    </w:pPr>
    <w:r>
      <w:t>www.spp.coop | SPP Global</w:t>
    </w:r>
  </w:p>
  <w:p w14:paraId="7FBC5E6F" w14:textId="77777777" w:rsidR="00573195" w:rsidRDefault="00000000">
    <w:pPr>
      <w:pStyle w:val="P68B1DB1-Normal9"/>
      <w:pBdr>
        <w:top w:val="nil"/>
        <w:left w:val="nil"/>
        <w:bottom w:val="nil"/>
        <w:right w:val="nil"/>
        <w:between w:val="nil"/>
      </w:pBdr>
      <w:tabs>
        <w:tab w:val="center" w:pos="4252"/>
        <w:tab w:val="right" w:pos="8504"/>
      </w:tabs>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2900" w14:textId="77777777" w:rsidR="00573195" w:rsidRDefault="00573195">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7B22" w14:textId="77777777" w:rsidR="00930FFB" w:rsidRDefault="00930FFB">
      <w:pPr>
        <w:spacing w:before="0" w:after="0"/>
      </w:pPr>
      <w:r>
        <w:separator/>
      </w:r>
    </w:p>
  </w:footnote>
  <w:footnote w:type="continuationSeparator" w:id="0">
    <w:p w14:paraId="5FB6CFE9" w14:textId="77777777" w:rsidR="00930FFB" w:rsidRDefault="00930F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9722" w14:textId="77777777" w:rsidR="00573195" w:rsidRDefault="00000000">
    <w:pPr>
      <w:pStyle w:val="P68B1DB1-Normal6"/>
      <w:pBdr>
        <w:top w:val="nil"/>
        <w:left w:val="nil"/>
        <w:bottom w:val="nil"/>
        <w:right w:val="nil"/>
        <w:between w:val="nil"/>
      </w:pBdr>
      <w:tabs>
        <w:tab w:val="center" w:pos="4252"/>
        <w:tab w:val="right" w:pos="8504"/>
      </w:tabs>
      <w:spacing w:after="0"/>
    </w:pPr>
    <w:r>
      <w:pict w14:anchorId="1029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4.75pt;height:635.9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EE1E" w14:textId="5F0AC21D" w:rsidR="00573195" w:rsidRPr="00AF7D80" w:rsidRDefault="00000000">
    <w:pPr>
      <w:ind w:left="420" w:right="40" w:hanging="280"/>
      <w:jc w:val="right"/>
      <w:rPr>
        <w:b/>
        <w:sz w:val="20"/>
        <w:lang w:val="en-US"/>
      </w:rPr>
    </w:pPr>
    <w:r w:rsidRPr="00AF7D80">
      <w:rPr>
        <w:lang w:val="en-US"/>
      </w:rPr>
      <w:drawing>
        <wp:anchor distT="114300" distB="114300" distL="114300" distR="114300" simplePos="0" relativeHeight="251656704" behindDoc="0" locked="0" layoutInCell="1" hidden="0" allowOverlap="1" wp14:anchorId="2DFEEF76" wp14:editId="01472303">
          <wp:simplePos x="0" y="0"/>
          <wp:positionH relativeFrom="column">
            <wp:posOffset>2438</wp:posOffset>
          </wp:positionH>
          <wp:positionV relativeFrom="paragraph">
            <wp:posOffset>14452</wp:posOffset>
          </wp:positionV>
          <wp:extent cx="904500" cy="893093"/>
          <wp:effectExtent l="0" t="0" r="0" b="2540"/>
          <wp:wrapNone/>
          <wp:docPr id="16" name="image2.png"/>
          <wp:cNvGraphicFramePr/>
          <a:graphic xmlns:a="http://schemas.openxmlformats.org/drawingml/2006/main">
            <a:graphicData uri="http://schemas.openxmlformats.org/drawingml/2006/picture">
              <pic:pic xmlns:pic="http://schemas.openxmlformats.org/drawingml/2006/picture">
                <pic:nvPicPr>
                  <pic:cNvPr id="16"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4500" cy="893093"/>
                  </a:xfrm>
                  <a:prstGeom prst="rect">
                    <a:avLst/>
                  </a:prstGeom>
                  <a:ln/>
                </pic:spPr>
              </pic:pic>
            </a:graphicData>
          </a:graphic>
          <wp14:sizeRelV relativeFrom="margin">
            <wp14:pctHeight>0</wp14:pctHeight>
          </wp14:sizeRelV>
        </wp:anchor>
      </w:drawing>
    </w:r>
    <w:r w:rsidRPr="00AF7D80">
      <w:rPr>
        <w:b/>
        <w:sz w:val="20"/>
        <w:lang w:val="en-US"/>
      </w:rPr>
      <w:t xml:space="preserve">Affidavit of Compliance for </w:t>
    </w:r>
    <w:proofErr w:type="spellStart"/>
    <w:r w:rsidRPr="00AF7D80">
      <w:rPr>
        <w:b/>
        <w:sz w:val="20"/>
        <w:lang w:val="en-US"/>
      </w:rPr>
      <w:t>SPOs</w:t>
    </w:r>
    <w:proofErr w:type="spellEnd"/>
    <w:r w:rsidRPr="00AF7D80">
      <w:rPr>
        <w:b/>
        <w:sz w:val="20"/>
        <w:lang w:val="en-US"/>
      </w:rPr>
      <w:t xml:space="preserve">, FBs and </w:t>
    </w:r>
    <w:proofErr w:type="spellStart"/>
    <w:r w:rsidRPr="00AF7D80">
      <w:rPr>
        <w:b/>
        <w:sz w:val="20"/>
        <w:lang w:val="en-US"/>
      </w:rPr>
      <w:t>RMDs</w:t>
    </w:r>
    <w:proofErr w:type="spellEnd"/>
  </w:p>
  <w:p w14:paraId="0CC79B31" w14:textId="5807E427" w:rsidR="00573195" w:rsidRDefault="00000000">
    <w:pPr>
      <w:pStyle w:val="P68B1DB1-Normal7"/>
      <w:ind w:left="420" w:right="40" w:hanging="280"/>
      <w:jc w:val="right"/>
    </w:pPr>
    <w:r>
      <w:t>SPP Global</w:t>
    </w:r>
  </w:p>
  <w:p w14:paraId="6099534E" w14:textId="17C8F5BA" w:rsidR="00573195" w:rsidRDefault="00000000">
    <w:pPr>
      <w:pStyle w:val="P68B1DB1-Normal7"/>
      <w:ind w:left="420" w:right="40" w:hanging="280"/>
      <w:jc w:val="right"/>
      <w:rPr>
        <w:b/>
      </w:rPr>
    </w:pPr>
    <w:r>
      <w:t>2023-08-18_V2.6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AC61" w14:textId="77777777" w:rsidR="00573195" w:rsidRDefault="00000000">
    <w:pPr>
      <w:pStyle w:val="P68B1DB1-Normal6"/>
      <w:pBdr>
        <w:top w:val="nil"/>
        <w:left w:val="nil"/>
        <w:bottom w:val="nil"/>
        <w:right w:val="nil"/>
        <w:between w:val="nil"/>
      </w:pBdr>
      <w:tabs>
        <w:tab w:val="center" w:pos="4252"/>
        <w:tab w:val="right" w:pos="8504"/>
      </w:tabs>
      <w:spacing w:after="0"/>
    </w:pPr>
    <w:r>
      <w:pict w14:anchorId="1E90E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4.75pt;height:635.9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D7F28"/>
    <w:multiLevelType w:val="multilevel"/>
    <w:tmpl w:val="F4A40092"/>
    <w:lvl w:ilvl="0">
      <w:start w:val="1"/>
      <w:numFmt w:val="bullet"/>
      <w:lvlText w:val="●"/>
      <w:lvlJc w:val="left"/>
      <w:pPr>
        <w:ind w:left="6" w:hanging="360"/>
      </w:pPr>
      <w:rPr>
        <w:rFonts w:ascii="Noto Sans Symbols" w:eastAsia="Noto Sans Symbols" w:hAnsi="Noto Sans Symbols" w:cs="Noto Sans Symbols"/>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1" w15:restartNumberingAfterBreak="0">
    <w:nsid w:val="34402995"/>
    <w:multiLevelType w:val="multilevel"/>
    <w:tmpl w:val="E0E8A37A"/>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1"/>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num w:numId="1" w16cid:durableId="316807216">
    <w:abstractNumId w:val="1"/>
  </w:num>
  <w:num w:numId="2" w16cid:durableId="30697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EF"/>
    <w:rsid w:val="0036309E"/>
    <w:rsid w:val="003C3AEF"/>
    <w:rsid w:val="00573195"/>
    <w:rsid w:val="0067241B"/>
    <w:rsid w:val="00930FFB"/>
    <w:rsid w:val="009E3FFB"/>
    <w:rsid w:val="00AF7D80"/>
    <w:rsid w:val="00EB6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4F47"/>
  <w15:docId w15:val="{08D60FCF-D219-4E3B-8819-DBAD1FCF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lang w:val="fr-FR" w:eastAsia="fr-FR" w:bidi="ar-SA"/>
      </w:rPr>
    </w:rPrDefault>
    <w:pPrDefault>
      <w:pPr>
        <w:spacing w:before="80" w:after="80"/>
        <w:ind w:right="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144"/>
      <w:outlineLvl w:val="0"/>
    </w:pPr>
    <w:rPr>
      <w:b/>
      <w:color w:val="4F62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outlineLvl w:val="6"/>
    </w:pPr>
    <w:rPr>
      <w:rFonts w:asciiTheme="majorHAnsi" w:eastAsiaTheme="majorEastAsia" w:hAnsiTheme="majorHAnsi" w:cstheme="majorBidi"/>
      <w:i/>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Ttulo9">
    <w:name w:val="heading 9"/>
    <w:basedOn w:val="Normal"/>
    <w:next w:val="Normal"/>
    <w:link w:val="Ttulo9Car"/>
    <w:uiPriority w:val="9"/>
    <w:semiHidden/>
    <w:unhideWhenUsed/>
    <w:qFormat/>
    <w:rsid w:val="007D52A0"/>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rPr>
      <w:b/>
      <w:i/>
      <w:color w:val="054F7A"/>
      <w:sz w:val="26"/>
    </w:rPr>
  </w:style>
  <w:style w:type="table" w:customStyle="1" w:styleId="5">
    <w:name w:val="5"/>
    <w:basedOn w:val="TableNormal5"/>
    <w:tblPr>
      <w:tblStyleRowBandSize w:val="1"/>
      <w:tblStyleColBandSize w:val="1"/>
    </w:tblPr>
  </w:style>
  <w:style w:type="table" w:customStyle="1" w:styleId="4">
    <w:name w:val="4"/>
    <w:basedOn w:val="TableNormal5"/>
    <w:tblPr>
      <w:tblStyleRowBandSize w:val="1"/>
      <w:tblStyleColBandSize w:val="1"/>
    </w:tblPr>
  </w:style>
  <w:style w:type="table" w:customStyle="1" w:styleId="3">
    <w:name w:val="3"/>
    <w:basedOn w:val="TableNormal5"/>
    <w:tblPr>
      <w:tblStyleRowBandSize w:val="1"/>
      <w:tblStyleColBandSize w:val="1"/>
    </w:tblPr>
  </w:style>
  <w:style w:type="table" w:customStyle="1" w:styleId="2">
    <w:name w:val="2"/>
    <w:basedOn w:val="TableNormal5"/>
    <w:pPr>
      <w:spacing w:after="0"/>
    </w:pPr>
    <w:tblPr>
      <w:tblStyleRowBandSize w:val="1"/>
      <w:tblStyleColBandSize w:val="1"/>
      <w:tblCellMar>
        <w:left w:w="108" w:type="dxa"/>
        <w:right w:w="108" w:type="dxa"/>
      </w:tblCellMar>
    </w:tblPr>
  </w:style>
  <w:style w:type="table" w:customStyle="1" w:styleId="1">
    <w:name w:val="1"/>
    <w:basedOn w:val="TableNormal5"/>
    <w:pPr>
      <w:spacing w:after="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D2A37"/>
    <w:pPr>
      <w:tabs>
        <w:tab w:val="center" w:pos="4252"/>
        <w:tab w:val="right" w:pos="8504"/>
      </w:tabs>
      <w:spacing w:after="0"/>
    </w:pPr>
  </w:style>
  <w:style w:type="character" w:customStyle="1" w:styleId="EncabezadoCar">
    <w:name w:val="Encabezado Car"/>
    <w:basedOn w:val="Fuentedeprrafopredeter"/>
    <w:link w:val="Encabezado"/>
    <w:uiPriority w:val="99"/>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color w:val="272727" w:themeColor="text1" w:themeTint="D8"/>
      <w:sz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pPr>
    <w:rPr>
      <w:rFonts w:ascii="Verdana" w:hAnsi="Verdana" w:cs="Verdana"/>
      <w:color w:val="000000"/>
      <w:sz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
      </w:numPr>
    </w:pPr>
  </w:style>
  <w:style w:type="paragraph" w:customStyle="1" w:styleId="Ttulo21">
    <w:name w:val="Título 21"/>
    <w:basedOn w:val="Normal"/>
    <w:rsid w:val="00AD3323"/>
    <w:pPr>
      <w:numPr>
        <w:ilvl w:val="1"/>
        <w:numId w:val="1"/>
      </w:numPr>
    </w:pPr>
  </w:style>
  <w:style w:type="paragraph" w:customStyle="1" w:styleId="Ttulo31">
    <w:name w:val="Título 31"/>
    <w:basedOn w:val="Normal"/>
    <w:rsid w:val="00AD3323"/>
    <w:pPr>
      <w:numPr>
        <w:ilvl w:val="2"/>
        <w:numId w:val="1"/>
      </w:numPr>
    </w:pPr>
  </w:style>
  <w:style w:type="paragraph" w:customStyle="1" w:styleId="Ttulo41">
    <w:name w:val="Título 41"/>
    <w:basedOn w:val="Normal"/>
    <w:rsid w:val="00AD3323"/>
    <w:pPr>
      <w:numPr>
        <w:ilvl w:val="3"/>
        <w:numId w:val="1"/>
      </w:numPr>
    </w:pPr>
  </w:style>
  <w:style w:type="paragraph" w:customStyle="1" w:styleId="Ttulo51">
    <w:name w:val="Título 51"/>
    <w:basedOn w:val="Normal"/>
    <w:rsid w:val="00AD3323"/>
    <w:pPr>
      <w:numPr>
        <w:ilvl w:val="4"/>
        <w:numId w:val="1"/>
      </w:numPr>
    </w:pPr>
  </w:style>
  <w:style w:type="paragraph" w:customStyle="1" w:styleId="Ttulo61">
    <w:name w:val="Título 61"/>
    <w:basedOn w:val="Normal"/>
    <w:rsid w:val="00AD3323"/>
    <w:pPr>
      <w:numPr>
        <w:ilvl w:val="5"/>
        <w:numId w:val="1"/>
      </w:numPr>
    </w:pPr>
  </w:style>
  <w:style w:type="paragraph" w:customStyle="1" w:styleId="Ttulo71">
    <w:name w:val="Título 71"/>
    <w:basedOn w:val="Normal"/>
    <w:rsid w:val="00AD3323"/>
    <w:pPr>
      <w:numPr>
        <w:ilvl w:val="6"/>
        <w:numId w:val="1"/>
      </w:numPr>
    </w:pPr>
  </w:style>
  <w:style w:type="paragraph" w:customStyle="1" w:styleId="Ttulo81">
    <w:name w:val="Título 81"/>
    <w:basedOn w:val="Normal"/>
    <w:rsid w:val="00AD3323"/>
    <w:pPr>
      <w:numPr>
        <w:ilvl w:val="7"/>
        <w:numId w:val="1"/>
      </w:numPr>
    </w:pPr>
  </w:style>
  <w:style w:type="paragraph" w:customStyle="1" w:styleId="Ttulo91">
    <w:name w:val="Título 91"/>
    <w:basedOn w:val="Normal"/>
    <w:rsid w:val="00AD3323"/>
    <w:pPr>
      <w:numPr>
        <w:ilvl w:val="8"/>
        <w:numId w:val="1"/>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tabs>
        <w:tab w:val="num" w:pos="720"/>
      </w:tabs>
      <w:autoSpaceDE w:val="0"/>
      <w:autoSpaceDN w:val="0"/>
      <w:adjustRightInd w:val="0"/>
      <w:spacing w:before="240" w:after="240"/>
      <w:ind w:left="567" w:hanging="567"/>
      <w:contextualSpacing w:val="0"/>
      <w:jc w:val="both"/>
    </w:pPr>
    <w:rPr>
      <w:b/>
      <w:color w:val="9BBB59" w:themeColor="accent3"/>
      <w:sz w:val="24"/>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color w:val="9BBB59" w:themeColor="accent3"/>
      <w:sz w:val="24"/>
    </w:rPr>
  </w:style>
  <w:style w:type="paragraph" w:styleId="TDC1">
    <w:name w:val="toc 1"/>
    <w:basedOn w:val="Normal"/>
    <w:next w:val="Normal"/>
    <w:autoRedefine/>
    <w:uiPriority w:val="39"/>
    <w:semiHidden/>
    <w:unhideWhenUsed/>
    <w:rsid w:val="000B55F0"/>
    <w:pPr>
      <w:spacing w:after="10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jc w:val="both"/>
    </w:pPr>
  </w:style>
  <w:style w:type="character" w:customStyle="1" w:styleId="TextoindependienteCar">
    <w:name w:val="Texto independiente Car"/>
    <w:basedOn w:val="Fuentedeprrafopredeter"/>
    <w:link w:val="Textoindependiente"/>
    <w:uiPriority w:val="1"/>
    <w:rsid w:val="000D62B5"/>
    <w:rPr>
      <w:rFonts w:ascii="Arial" w:eastAsia="Arial" w:hAnsi="Arial" w:cs="Arial"/>
    </w:rPr>
  </w:style>
  <w:style w:type="paragraph" w:styleId="Revisin">
    <w:name w:val="Revision"/>
    <w:hidden/>
    <w:uiPriority w:val="99"/>
    <w:semiHidden/>
    <w:rsid w:val="005D29CA"/>
    <w:pPr>
      <w:spacing w:after="0"/>
    </w:pPr>
  </w:style>
  <w:style w:type="paragraph" w:customStyle="1" w:styleId="P68B1DB1-Normal1">
    <w:name w:val="P68B1DB1-Normal1"/>
    <w:basedOn w:val="Normal"/>
    <w:rsid w:val="00507AD3"/>
    <w:rPr>
      <w:color w:val="404040" w:themeColor="text1" w:themeTint="BF"/>
    </w:rPr>
  </w:style>
  <w:style w:type="character" w:styleId="Mencinsinresolver">
    <w:name w:val="Unresolved Mention"/>
    <w:basedOn w:val="Fuentedeprrafopredeter"/>
    <w:uiPriority w:val="99"/>
    <w:semiHidden/>
    <w:unhideWhenUsed/>
    <w:rsid w:val="006F47E4"/>
    <w:rPr>
      <w:color w:val="605E5C"/>
      <w:shd w:val="clear" w:color="auto" w:fill="E1DFDD"/>
    </w:rPr>
  </w:style>
  <w:style w:type="paragraph" w:customStyle="1" w:styleId="P68B1DB1-Normal2">
    <w:name w:val="P68B1DB1-Normal2"/>
    <w:basedOn w:val="Normal"/>
    <w:rsid w:val="00D4400B"/>
  </w:style>
  <w:style w:type="paragraph" w:styleId="Sinespaciado">
    <w:name w:val="No Spacing"/>
    <w:uiPriority w:val="1"/>
    <w:qFormat/>
    <w:rsid w:val="00350170"/>
    <w:pPr>
      <w:spacing w:after="0"/>
    </w:pPr>
  </w:style>
  <w:style w:type="paragraph" w:customStyle="1" w:styleId="P68B1DB1-Normal3">
    <w:name w:val="P68B1DB1-Normal3"/>
    <w:basedOn w:val="Normal"/>
    <w:rPr>
      <w:i/>
      <w:color w:val="4F81BD"/>
      <w:highlight w:val="yellow"/>
    </w:rPr>
  </w:style>
  <w:style w:type="paragraph" w:customStyle="1" w:styleId="P68B1DB1-Normal4">
    <w:name w:val="P68B1DB1-Normal4"/>
    <w:basedOn w:val="Normal"/>
    <w:rPr>
      <w:color w:val="595959"/>
    </w:rPr>
  </w:style>
  <w:style w:type="paragraph" w:customStyle="1" w:styleId="P68B1DB1-Normal5">
    <w:name w:val="P68B1DB1-Normal5"/>
    <w:basedOn w:val="Normal"/>
    <w:rPr>
      <w:b/>
      <w:color w:val="595959"/>
    </w:rPr>
  </w:style>
  <w:style w:type="paragraph" w:customStyle="1" w:styleId="P68B1DB1-Normal6">
    <w:name w:val="P68B1DB1-Normal6"/>
    <w:basedOn w:val="Normal"/>
    <w:rPr>
      <w:color w:val="000000"/>
    </w:rPr>
  </w:style>
  <w:style w:type="paragraph" w:customStyle="1" w:styleId="P68B1DB1-Normal7">
    <w:name w:val="P68B1DB1-Normal7"/>
    <w:basedOn w:val="Normal"/>
    <w:rPr>
      <w:sz w:val="20"/>
    </w:rPr>
  </w:style>
  <w:style w:type="paragraph" w:customStyle="1" w:styleId="P68B1DB1-Normal8">
    <w:name w:val="P68B1DB1-Normal8"/>
    <w:basedOn w:val="Normal"/>
    <w:rPr>
      <w:b/>
      <w:color w:val="054F7A"/>
      <w:sz w:val="18"/>
    </w:rPr>
  </w:style>
  <w:style w:type="paragraph" w:customStyle="1" w:styleId="P68B1DB1-Normal9">
    <w:name w:val="P68B1DB1-Normal9"/>
    <w:basedOn w:val="Normal"/>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xcMzLOxN4fDIPd0N+GSFSlGg==">CgMxLjAyDmguY3U3NjJjOHJzeGNzOAByITFKRFQtS2hNUGk0bkhzbTJPRDNkcFBEc3VrTW9OalgyVA==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dc:creator>
  <cp:lastModifiedBy>sistemas-spp</cp:lastModifiedBy>
  <cp:revision>4</cp:revision>
  <dcterms:created xsi:type="dcterms:W3CDTF">2025-03-13T21:29:00Z</dcterms:created>
  <dcterms:modified xsi:type="dcterms:W3CDTF">2025-03-24T20:46:00Z</dcterms:modified>
</cp:coreProperties>
</file>