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91DF" w14:textId="77777777" w:rsidR="00976717" w:rsidRPr="00976717" w:rsidRDefault="00976717" w:rsidP="00976717">
      <w:pPr>
        <w:spacing w:before="120"/>
        <w:jc w:val="right"/>
        <w:rPr>
          <w:rFonts w:ascii="Arial" w:eastAsia="Arial" w:hAnsi="Arial" w:cs="Arial"/>
          <w:color w:val="404040" w:themeColor="text1" w:themeTint="BF"/>
          <w:lang w:val="en-US" w:eastAsia="en-US" w:bidi="en-US"/>
        </w:rPr>
      </w:pPr>
    </w:p>
    <w:sdt>
      <w:sdtPr>
        <w:rPr>
          <w:rFonts w:ascii="Arial" w:eastAsia="Arial" w:hAnsi="Arial" w:cs="Arial"/>
          <w:i/>
          <w:iCs/>
          <w:color w:val="4F81BD" w:themeColor="accent1"/>
          <w:lang w:val="en-US" w:eastAsia="en-US" w:bidi="en-US"/>
        </w:rPr>
        <w:id w:val="267118656"/>
        <w:placeholder>
          <w:docPart w:val="DefaultPlaceholder_-1854013440"/>
        </w:placeholder>
      </w:sdtPr>
      <w:sdtEndPr/>
      <w:sdtContent>
        <w:p w14:paraId="5FDEF452" w14:textId="57E1AEA3" w:rsidR="00976717" w:rsidRPr="00007C6D" w:rsidRDefault="00976717" w:rsidP="00976717">
          <w:pPr>
            <w:spacing w:before="120"/>
            <w:jc w:val="right"/>
            <w:rPr>
              <w:rFonts w:ascii="Arial" w:eastAsia="Arial" w:hAnsi="Arial" w:cs="Arial"/>
              <w:i/>
              <w:iCs/>
              <w:color w:val="4F81BD" w:themeColor="accent1"/>
              <w:lang w:val="en-US" w:eastAsia="en-US" w:bidi="en-US"/>
            </w:rPr>
          </w:pPr>
          <w:r w:rsidRPr="00007C6D">
            <w:rPr>
              <w:rFonts w:ascii="Arial" w:eastAsia="Arial" w:hAnsi="Arial" w:cs="Arial"/>
              <w:i/>
              <w:iCs/>
              <w:color w:val="4F81BD" w:themeColor="accent1"/>
              <w:lang w:val="en-US" w:eastAsia="en-US" w:bidi="en-US"/>
            </w:rPr>
            <w:t>Place, Date</w:t>
          </w:r>
        </w:p>
      </w:sdtContent>
    </w:sdt>
    <w:p w14:paraId="074FE59A" w14:textId="5C6AC7B6" w:rsidR="00976717" w:rsidRDefault="00976717" w:rsidP="00976717">
      <w:pPr>
        <w:spacing w:before="12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To whom it may concern:</w:t>
      </w:r>
    </w:p>
    <w:p w14:paraId="077C85B6" w14:textId="77777777" w:rsidR="004721A9" w:rsidRPr="00976717" w:rsidRDefault="004721A9" w:rsidP="00976717">
      <w:pPr>
        <w:spacing w:before="120"/>
        <w:jc w:val="both"/>
        <w:rPr>
          <w:rFonts w:ascii="Arial" w:eastAsia="Arial" w:hAnsi="Arial" w:cs="Arial"/>
          <w:color w:val="404040" w:themeColor="text1" w:themeTint="BF"/>
          <w:lang w:val="en-US" w:eastAsia="en-US" w:bidi="en-US"/>
        </w:rPr>
      </w:pPr>
    </w:p>
    <w:p w14:paraId="5DFE9B8C" w14:textId="52F6D970" w:rsidR="00976717" w:rsidRPr="00976717" w:rsidRDefault="00976717" w:rsidP="00EB0E7E">
      <w:pPr>
        <w:spacing w:before="240" w:after="36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To follow up on the Certification Procedures for Small Producers’ Organizations, and given that the Certification option we have selected is the Document-Based </w:t>
      </w:r>
      <w:r w:rsidR="00007C6D">
        <w:rPr>
          <w:rFonts w:ascii="Arial" w:eastAsia="Arial" w:hAnsi="Arial" w:cs="Arial"/>
          <w:color w:val="404040" w:themeColor="text1" w:themeTint="BF"/>
          <w:lang w:val="en-US" w:eastAsia="en-US" w:bidi="en-US"/>
        </w:rPr>
        <w:t>Evaluation</w:t>
      </w:r>
      <w:r w:rsidRPr="00976717">
        <w:rPr>
          <w:rFonts w:ascii="Arial" w:eastAsia="Arial" w:hAnsi="Arial" w:cs="Arial"/>
          <w:color w:val="404040" w:themeColor="text1" w:themeTint="BF"/>
          <w:lang w:val="en-US" w:eastAsia="en-US" w:bidi="en-US"/>
        </w:rPr>
        <w:t xml:space="preserve"> or </w:t>
      </w:r>
      <w:r w:rsidR="00007C6D">
        <w:rPr>
          <w:rFonts w:ascii="Arial" w:eastAsia="Arial" w:hAnsi="Arial" w:cs="Arial"/>
          <w:color w:val="404040" w:themeColor="text1" w:themeTint="BF"/>
          <w:lang w:val="en-US" w:eastAsia="en-US" w:bidi="en-US"/>
        </w:rPr>
        <w:t xml:space="preserve">Complete </w:t>
      </w:r>
      <w:proofErr w:type="gramStart"/>
      <w:r w:rsidR="00007C6D">
        <w:rPr>
          <w:rFonts w:ascii="Arial" w:eastAsia="Arial" w:hAnsi="Arial" w:cs="Arial"/>
          <w:color w:val="404040" w:themeColor="text1" w:themeTint="BF"/>
          <w:lang w:val="en-US" w:eastAsia="en-US" w:bidi="en-US"/>
        </w:rPr>
        <w:t>On</w:t>
      </w:r>
      <w:proofErr w:type="gramEnd"/>
      <w:r w:rsidR="00007C6D">
        <w:rPr>
          <w:rFonts w:ascii="Arial" w:eastAsia="Arial" w:hAnsi="Arial" w:cs="Arial"/>
          <w:color w:val="404040" w:themeColor="text1" w:themeTint="BF"/>
          <w:lang w:val="en-US" w:eastAsia="en-US" w:bidi="en-US"/>
        </w:rPr>
        <w:t xml:space="preserve"> Site Evaluation</w:t>
      </w:r>
      <w:r w:rsidRPr="00976717">
        <w:rPr>
          <w:rFonts w:ascii="Arial" w:eastAsia="Arial" w:hAnsi="Arial" w:cs="Arial"/>
          <w:color w:val="404040" w:themeColor="text1" w:themeTint="BF"/>
          <w:lang w:val="en-US" w:eastAsia="en-US" w:bidi="en-US"/>
        </w:rPr>
        <w:t xml:space="preserve">, we, </w:t>
      </w:r>
      <w:sdt>
        <w:sdtPr>
          <w:rPr>
            <w:rFonts w:ascii="Arial" w:eastAsia="Arial" w:hAnsi="Arial" w:cs="Arial"/>
            <w:color w:val="404040" w:themeColor="text1" w:themeTint="BF"/>
            <w:lang w:val="en-US" w:eastAsia="en-US" w:bidi="en-US"/>
          </w:rPr>
          <w:id w:val="117118590"/>
          <w:placeholder>
            <w:docPart w:val="DefaultPlaceholder_-1854013440"/>
          </w:placeholder>
        </w:sdtPr>
        <w:sdtEndPr>
          <w:rPr>
            <w:i/>
            <w:iCs/>
            <w:color w:val="4F81BD" w:themeColor="accent1"/>
          </w:rPr>
        </w:sdtEndPr>
        <w:sdtContent>
          <w:r w:rsidR="006140C5" w:rsidRPr="00A41EE5">
            <w:rPr>
              <w:rFonts w:ascii="Arial" w:eastAsia="Arial" w:hAnsi="Arial" w:cs="Arial"/>
              <w:i/>
              <w:iCs/>
              <w:color w:val="4F81BD" w:themeColor="accent1"/>
              <w:lang w:val="en-US" w:eastAsia="en-US" w:bidi="en-US"/>
            </w:rPr>
            <w:t>N</w:t>
          </w:r>
          <w:r w:rsidRPr="00A41EE5">
            <w:rPr>
              <w:rFonts w:ascii="Arial" w:eastAsia="Arial" w:hAnsi="Arial" w:cs="Arial"/>
              <w:i/>
              <w:iCs/>
              <w:color w:val="4F81BD" w:themeColor="accent1"/>
              <w:lang w:val="en-US" w:eastAsia="en-US" w:bidi="en-US"/>
            </w:rPr>
            <w:t>ame of Small Producers’ Organization</w:t>
          </w:r>
        </w:sdtContent>
      </w:sdt>
      <w:r w:rsidRPr="00976717">
        <w:rPr>
          <w:rFonts w:ascii="Arial" w:eastAsia="Arial" w:hAnsi="Arial" w:cs="Arial"/>
          <w:color w:val="404040" w:themeColor="text1" w:themeTint="BF"/>
          <w:lang w:val="en-US" w:eastAsia="en-US" w:bidi="en-US"/>
        </w:rPr>
        <w:t xml:space="preserve">, declare that we fully comply with Critical Criteria </w:t>
      </w:r>
      <w:r w:rsidR="00EB0E7E">
        <w:rPr>
          <w:rFonts w:ascii="Arial" w:eastAsia="Arial" w:hAnsi="Arial" w:cs="Arial"/>
          <w:color w:val="404040" w:themeColor="text1" w:themeTint="BF"/>
          <w:lang w:val="en-US" w:eastAsia="en-US" w:bidi="en-US"/>
        </w:rPr>
        <w:t xml:space="preserve">in chapters </w:t>
      </w:r>
      <w:r w:rsidRPr="00976717">
        <w:rPr>
          <w:rFonts w:ascii="Arial" w:eastAsia="Arial" w:hAnsi="Arial" w:cs="Arial"/>
          <w:color w:val="404040" w:themeColor="text1" w:themeTint="BF"/>
          <w:lang w:val="en-US" w:eastAsia="en-US" w:bidi="en-US"/>
        </w:rPr>
        <w:t>4.1 and 4.2 in the General Standard of the Small Producers’ Symbol, which states the following:</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9213"/>
      </w:tblGrid>
      <w:tr w:rsidR="00976717" w:rsidRPr="00976717" w14:paraId="69088BA1" w14:textId="77777777" w:rsidTr="004721A9">
        <w:tc>
          <w:tcPr>
            <w:tcW w:w="880" w:type="dxa"/>
            <w:shd w:val="clear" w:color="auto" w:fill="D9D9D9"/>
            <w:vAlign w:val="center"/>
          </w:tcPr>
          <w:p w14:paraId="0BA23ADB" w14:textId="77777777" w:rsidR="00976717" w:rsidRPr="00976717" w:rsidRDefault="00976717" w:rsidP="00FA7EF8">
            <w:pPr>
              <w:spacing w:before="12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4.1</w:t>
            </w:r>
          </w:p>
        </w:tc>
        <w:tc>
          <w:tcPr>
            <w:tcW w:w="9213" w:type="dxa"/>
            <w:shd w:val="clear" w:color="auto" w:fill="D9D9D9"/>
            <w:vAlign w:val="center"/>
          </w:tcPr>
          <w:p w14:paraId="69B893BC" w14:textId="7E401FEB" w:rsidR="00976717" w:rsidRPr="00976717" w:rsidRDefault="00EA6049"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SMALL PRODUCERS´ ORGANIZATION</w:t>
            </w:r>
            <w:r>
              <w:rPr>
                <w:rFonts w:ascii="Arial" w:eastAsia="Arial" w:hAnsi="Arial" w:cs="Arial"/>
                <w:color w:val="404040" w:themeColor="text1" w:themeTint="BF"/>
                <w:lang w:val="en-US" w:eastAsia="en-US" w:bidi="en-US"/>
              </w:rPr>
              <w:t>S</w:t>
            </w:r>
          </w:p>
        </w:tc>
      </w:tr>
      <w:tr w:rsidR="004721A9" w:rsidRPr="00976717" w14:paraId="282E7E98" w14:textId="77777777" w:rsidTr="004721A9">
        <w:tc>
          <w:tcPr>
            <w:tcW w:w="880" w:type="dxa"/>
            <w:shd w:val="clear" w:color="auto" w:fill="D9D9D9"/>
            <w:vAlign w:val="center"/>
          </w:tcPr>
          <w:p w14:paraId="45DECE22" w14:textId="77777777" w:rsidR="004721A9" w:rsidRPr="00976717" w:rsidRDefault="004721A9" w:rsidP="00FA7EF8">
            <w:pPr>
              <w:spacing w:before="120"/>
              <w:rPr>
                <w:rFonts w:ascii="Arial" w:eastAsia="Arial" w:hAnsi="Arial" w:cs="Arial"/>
                <w:color w:val="404040" w:themeColor="text1" w:themeTint="BF"/>
                <w:lang w:val="en-US" w:eastAsia="en-US" w:bidi="en-US"/>
              </w:rPr>
            </w:pPr>
          </w:p>
        </w:tc>
        <w:tc>
          <w:tcPr>
            <w:tcW w:w="9213" w:type="dxa"/>
            <w:shd w:val="clear" w:color="auto" w:fill="D9D9D9"/>
            <w:vAlign w:val="center"/>
          </w:tcPr>
          <w:p w14:paraId="0F96D322" w14:textId="77777777" w:rsidR="004721A9" w:rsidRPr="00976717" w:rsidRDefault="004721A9" w:rsidP="00EA6049">
            <w:pPr>
              <w:spacing w:before="120"/>
              <w:ind w:left="0" w:firstLine="0"/>
              <w:rPr>
                <w:rFonts w:ascii="Arial" w:eastAsia="Arial" w:hAnsi="Arial" w:cs="Arial"/>
                <w:color w:val="404040" w:themeColor="text1" w:themeTint="BF"/>
                <w:lang w:val="en-US" w:eastAsia="en-US" w:bidi="en-US"/>
              </w:rPr>
            </w:pPr>
          </w:p>
        </w:tc>
      </w:tr>
      <w:tr w:rsidR="00976717" w:rsidRPr="00144E90" w14:paraId="4EC737CF" w14:textId="77777777" w:rsidTr="004721A9">
        <w:tc>
          <w:tcPr>
            <w:tcW w:w="880" w:type="dxa"/>
            <w:vAlign w:val="center"/>
          </w:tcPr>
          <w:p w14:paraId="07E194C1" w14:textId="77777777" w:rsidR="00976717" w:rsidRPr="00976717" w:rsidRDefault="00976717" w:rsidP="00142481">
            <w:pPr>
              <w:spacing w:before="120"/>
              <w:ind w:left="0" w:hanging="45"/>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4.1.1</w:t>
            </w:r>
          </w:p>
        </w:tc>
        <w:tc>
          <w:tcPr>
            <w:tcW w:w="9213" w:type="dxa"/>
            <w:vAlign w:val="center"/>
          </w:tcPr>
          <w:p w14:paraId="74146DDA" w14:textId="77777777" w:rsidR="00976717" w:rsidRPr="00976717" w:rsidRDefault="00976717"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All the producers in the Small Producers’ Organization meet each of the following criteria (a, b, </w:t>
            </w:r>
            <w:proofErr w:type="gramStart"/>
            <w:r w:rsidRPr="00976717">
              <w:rPr>
                <w:rFonts w:ascii="Arial" w:eastAsia="Arial" w:hAnsi="Arial" w:cs="Arial"/>
                <w:color w:val="404040" w:themeColor="text1" w:themeTint="BF"/>
                <w:lang w:val="en-US" w:eastAsia="en-US" w:bidi="en-US"/>
              </w:rPr>
              <w:t>c</w:t>
            </w:r>
            <w:proofErr w:type="gramEnd"/>
            <w:r w:rsidRPr="00976717">
              <w:rPr>
                <w:rFonts w:ascii="Arial" w:eastAsia="Arial" w:hAnsi="Arial" w:cs="Arial"/>
                <w:color w:val="404040" w:themeColor="text1" w:themeTint="BF"/>
                <w:lang w:val="en-US" w:eastAsia="en-US" w:bidi="en-US"/>
              </w:rPr>
              <w:t xml:space="preserve"> and d):</w:t>
            </w:r>
          </w:p>
        </w:tc>
      </w:tr>
      <w:tr w:rsidR="00976717" w:rsidRPr="00144E90" w14:paraId="79C5096A" w14:textId="77777777" w:rsidTr="004721A9">
        <w:tc>
          <w:tcPr>
            <w:tcW w:w="880" w:type="dxa"/>
            <w:vAlign w:val="center"/>
          </w:tcPr>
          <w:p w14:paraId="4BB4E487" w14:textId="309BD10B" w:rsidR="00976717" w:rsidRPr="00A41EE5" w:rsidRDefault="00A41EE5" w:rsidP="004721A9">
            <w:pPr>
              <w:spacing w:before="120" w:line="276" w:lineRule="auto"/>
              <w:ind w:left="0" w:right="-325" w:hanging="45"/>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w:t>
            </w:r>
            <w:proofErr w:type="gramStart"/>
            <w:r w:rsidRPr="00A41EE5">
              <w:rPr>
                <w:rFonts w:ascii="Arial" w:eastAsia="Arial" w:hAnsi="Arial" w:cs="Arial"/>
                <w:color w:val="404040" w:themeColor="text1" w:themeTint="BF"/>
                <w:sz w:val="18"/>
                <w:szCs w:val="18"/>
                <w:lang w:val="en-US" w:eastAsia="en-US" w:bidi="en-US"/>
              </w:rPr>
              <w:t>1.a</w:t>
            </w:r>
            <w:r w:rsidR="00142481">
              <w:rPr>
                <w:rFonts w:ascii="Arial" w:eastAsia="Arial" w:hAnsi="Arial" w:cs="Arial"/>
                <w:color w:val="404040" w:themeColor="text1" w:themeTint="BF"/>
                <w:sz w:val="18"/>
                <w:szCs w:val="18"/>
                <w:lang w:val="en-US" w:eastAsia="en-US" w:bidi="en-US"/>
              </w:rPr>
              <w:t>.</w:t>
            </w:r>
            <w:proofErr w:type="gramEnd"/>
            <w:r w:rsidR="00142481">
              <w:rPr>
                <w:rFonts w:ascii="Arial" w:eastAsia="Arial" w:hAnsi="Arial" w:cs="Arial"/>
                <w:color w:val="404040" w:themeColor="text1" w:themeTint="BF"/>
                <w:sz w:val="18"/>
                <w:szCs w:val="18"/>
                <w:lang w:val="en-US" w:eastAsia="en-US" w:bidi="en-US"/>
              </w:rPr>
              <w:t>1</w:t>
            </w:r>
          </w:p>
        </w:tc>
        <w:tc>
          <w:tcPr>
            <w:tcW w:w="9213" w:type="dxa"/>
            <w:vAlign w:val="center"/>
          </w:tcPr>
          <w:p w14:paraId="75AFF132" w14:textId="77777777" w:rsidR="00976717" w:rsidRPr="00976717" w:rsidRDefault="00976717"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1. For each of the products to be included in the certification of the Small Producers’ Organization, the size of the production unit does not exceed the following dimensions:</w:t>
            </w:r>
          </w:p>
        </w:tc>
      </w:tr>
      <w:tr w:rsidR="00976717" w:rsidRPr="00144E90" w14:paraId="06EB08EE" w14:textId="77777777" w:rsidTr="004721A9">
        <w:tc>
          <w:tcPr>
            <w:tcW w:w="880" w:type="dxa"/>
            <w:vAlign w:val="center"/>
          </w:tcPr>
          <w:p w14:paraId="17072A43"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08ECFE78" w14:textId="77777777" w:rsidR="00976717" w:rsidRPr="00976717" w:rsidRDefault="00976717"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 The production units of at least 85% of producers do not exceed the following unit sizes:</w:t>
            </w:r>
          </w:p>
        </w:tc>
      </w:tr>
      <w:tr w:rsidR="00976717" w:rsidRPr="00976717" w14:paraId="480F1AB0" w14:textId="77777777" w:rsidTr="004721A9">
        <w:tc>
          <w:tcPr>
            <w:tcW w:w="880" w:type="dxa"/>
            <w:vAlign w:val="center"/>
          </w:tcPr>
          <w:p w14:paraId="01C242F2"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148EDF09" w14:textId="77777777" w:rsidR="00976717" w:rsidRPr="00976717" w:rsidRDefault="00976717"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A. Agriculture: 15 hectares in production</w:t>
            </w:r>
          </w:p>
        </w:tc>
      </w:tr>
      <w:tr w:rsidR="00976717" w:rsidRPr="00144E90" w14:paraId="11297C5F" w14:textId="77777777" w:rsidTr="004721A9">
        <w:tc>
          <w:tcPr>
            <w:tcW w:w="880" w:type="dxa"/>
            <w:vAlign w:val="center"/>
          </w:tcPr>
          <w:p w14:paraId="067FA82F"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6A63C92C" w14:textId="77777777" w:rsidR="00976717" w:rsidRPr="00976717" w:rsidRDefault="00976717"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B. Indoor agriculture: 1 hectare in production</w:t>
            </w:r>
          </w:p>
        </w:tc>
      </w:tr>
      <w:tr w:rsidR="00976717" w:rsidRPr="00144E90" w14:paraId="58C994CD" w14:textId="77777777" w:rsidTr="004721A9">
        <w:tc>
          <w:tcPr>
            <w:tcW w:w="880" w:type="dxa"/>
            <w:vAlign w:val="center"/>
          </w:tcPr>
          <w:p w14:paraId="7F9504C0"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12E43B74" w14:textId="77777777" w:rsidR="00976717" w:rsidRPr="00976717" w:rsidRDefault="00976717" w:rsidP="00EA6049">
            <w:pPr>
              <w:spacing w:before="120"/>
              <w:ind w:left="0" w:firstLine="0"/>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C. Beekeeping: 500 hives in production</w:t>
            </w:r>
          </w:p>
        </w:tc>
      </w:tr>
      <w:tr w:rsidR="00976717" w:rsidRPr="00144E90" w14:paraId="0055EE7D" w14:textId="77777777" w:rsidTr="004721A9">
        <w:tc>
          <w:tcPr>
            <w:tcW w:w="880" w:type="dxa"/>
            <w:vAlign w:val="center"/>
          </w:tcPr>
          <w:p w14:paraId="485E5723"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6641AB4F"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ii. A maximum of 15% of producers may have up to 2 times the parameters defined in i. A, B and C.</w:t>
            </w:r>
          </w:p>
        </w:tc>
      </w:tr>
      <w:tr w:rsidR="00976717" w:rsidRPr="00144E90" w14:paraId="3AD98B6D" w14:textId="77777777" w:rsidTr="004721A9">
        <w:tc>
          <w:tcPr>
            <w:tcW w:w="880" w:type="dxa"/>
            <w:vAlign w:val="center"/>
          </w:tcPr>
          <w:p w14:paraId="7BAADD64"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64FC3712" w14:textId="77777777" w:rsidR="00976717" w:rsidRPr="00EA6049" w:rsidRDefault="00976717" w:rsidP="00EA6049">
            <w:pPr>
              <w:spacing w:before="120"/>
              <w:ind w:left="0" w:firstLine="0"/>
              <w:jc w:val="both"/>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iii. If there are some isolated producers who exceed these parameters of size, a request for a special permission must be submitted to SPP GLOBAL, with proper justification, so that the organization may eventually be subject of certification.</w:t>
            </w:r>
          </w:p>
        </w:tc>
      </w:tr>
      <w:tr w:rsidR="00976717" w:rsidRPr="00144E90" w14:paraId="413C9372" w14:textId="77777777" w:rsidTr="004721A9">
        <w:tc>
          <w:tcPr>
            <w:tcW w:w="880" w:type="dxa"/>
            <w:vAlign w:val="center"/>
          </w:tcPr>
          <w:p w14:paraId="46C69EED" w14:textId="77777777" w:rsidR="00976717" w:rsidRPr="00A41EE5" w:rsidRDefault="00976717" w:rsidP="004721A9">
            <w:pPr>
              <w:spacing w:before="120"/>
              <w:ind w:left="-15" w:hanging="45"/>
              <w:rPr>
                <w:rFonts w:ascii="Arial" w:eastAsia="Arial" w:hAnsi="Arial" w:cs="Arial"/>
                <w:color w:val="404040" w:themeColor="text1" w:themeTint="BF"/>
                <w:sz w:val="18"/>
                <w:szCs w:val="18"/>
                <w:lang w:val="en-US" w:eastAsia="en-US" w:bidi="en-US"/>
              </w:rPr>
            </w:pPr>
          </w:p>
        </w:tc>
        <w:tc>
          <w:tcPr>
            <w:tcW w:w="9213" w:type="dxa"/>
            <w:vAlign w:val="center"/>
          </w:tcPr>
          <w:p w14:paraId="4CCBCB21" w14:textId="77777777" w:rsidR="00976717" w:rsidRPr="00EA6049" w:rsidRDefault="00976717" w:rsidP="00EA6049">
            <w:pPr>
              <w:spacing w:before="120"/>
              <w:ind w:left="0" w:firstLine="0"/>
              <w:jc w:val="both"/>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iv. Variations of less than 1% in the percentages of subsections i and ii are acceptable.</w:t>
            </w:r>
          </w:p>
        </w:tc>
      </w:tr>
      <w:tr w:rsidR="00976717" w:rsidRPr="00144E90" w14:paraId="40D5990F" w14:textId="77777777" w:rsidTr="004721A9">
        <w:tc>
          <w:tcPr>
            <w:tcW w:w="880" w:type="dxa"/>
            <w:vAlign w:val="center"/>
          </w:tcPr>
          <w:p w14:paraId="4BF149D1" w14:textId="191EB753" w:rsidR="00976717" w:rsidRPr="00A41EE5" w:rsidRDefault="00142481" w:rsidP="004721A9">
            <w:pPr>
              <w:spacing w:before="120"/>
              <w:ind w:left="-15" w:hanging="45"/>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w:t>
            </w:r>
            <w:proofErr w:type="gramStart"/>
            <w:r w:rsidRPr="00A41EE5">
              <w:rPr>
                <w:rFonts w:ascii="Arial" w:eastAsia="Arial" w:hAnsi="Arial" w:cs="Arial"/>
                <w:color w:val="404040" w:themeColor="text1" w:themeTint="BF"/>
                <w:sz w:val="18"/>
                <w:szCs w:val="18"/>
                <w:lang w:val="en-US" w:eastAsia="en-US" w:bidi="en-US"/>
              </w:rPr>
              <w:t>1.a</w:t>
            </w:r>
            <w:r>
              <w:rPr>
                <w:rFonts w:ascii="Arial" w:eastAsia="Arial" w:hAnsi="Arial" w:cs="Arial"/>
                <w:color w:val="404040" w:themeColor="text1" w:themeTint="BF"/>
                <w:sz w:val="18"/>
                <w:szCs w:val="18"/>
                <w:lang w:val="en-US" w:eastAsia="en-US" w:bidi="en-US"/>
              </w:rPr>
              <w:t>.</w:t>
            </w:r>
            <w:proofErr w:type="gramEnd"/>
            <w:r>
              <w:rPr>
                <w:rFonts w:ascii="Arial" w:eastAsia="Arial" w:hAnsi="Arial" w:cs="Arial"/>
                <w:color w:val="404040" w:themeColor="text1" w:themeTint="BF"/>
                <w:sz w:val="18"/>
                <w:szCs w:val="18"/>
                <w:lang w:val="en-US" w:eastAsia="en-US" w:bidi="en-US"/>
              </w:rPr>
              <w:t>2</w:t>
            </w:r>
          </w:p>
        </w:tc>
        <w:tc>
          <w:tcPr>
            <w:tcW w:w="9213" w:type="dxa"/>
            <w:vAlign w:val="center"/>
          </w:tcPr>
          <w:p w14:paraId="02A9A2C2" w14:textId="77777777" w:rsidR="00976717" w:rsidRPr="00EA6049" w:rsidRDefault="00976717" w:rsidP="00EA6049">
            <w:pPr>
              <w:spacing w:before="120"/>
              <w:ind w:left="0" w:firstLine="0"/>
              <w:jc w:val="both"/>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2.  For other categories of products, SPP GLOBAL should be consulted with, regarding the maximum sizes of production units.</w:t>
            </w:r>
          </w:p>
        </w:tc>
      </w:tr>
      <w:tr w:rsidR="00976717" w:rsidRPr="00144E90" w14:paraId="1971A103" w14:textId="77777777" w:rsidTr="004721A9">
        <w:tc>
          <w:tcPr>
            <w:tcW w:w="880" w:type="dxa"/>
            <w:vAlign w:val="center"/>
          </w:tcPr>
          <w:p w14:paraId="5D5DB136" w14:textId="7C321355" w:rsidR="00976717" w:rsidRPr="00A41EE5" w:rsidRDefault="00142481" w:rsidP="004721A9">
            <w:pPr>
              <w:spacing w:before="120"/>
              <w:ind w:left="-15" w:hanging="45"/>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w:t>
            </w:r>
            <w:proofErr w:type="gramStart"/>
            <w:r w:rsidRPr="00A41EE5">
              <w:rPr>
                <w:rFonts w:ascii="Arial" w:eastAsia="Arial" w:hAnsi="Arial" w:cs="Arial"/>
                <w:color w:val="404040" w:themeColor="text1" w:themeTint="BF"/>
                <w:sz w:val="18"/>
                <w:szCs w:val="18"/>
                <w:lang w:val="en-US" w:eastAsia="en-US" w:bidi="en-US"/>
              </w:rPr>
              <w:t>1.a</w:t>
            </w:r>
            <w:r>
              <w:rPr>
                <w:rFonts w:ascii="Arial" w:eastAsia="Arial" w:hAnsi="Arial" w:cs="Arial"/>
                <w:color w:val="404040" w:themeColor="text1" w:themeTint="BF"/>
                <w:sz w:val="18"/>
                <w:szCs w:val="18"/>
                <w:lang w:val="en-US" w:eastAsia="en-US" w:bidi="en-US"/>
              </w:rPr>
              <w:t>.</w:t>
            </w:r>
            <w:proofErr w:type="gramEnd"/>
            <w:r>
              <w:rPr>
                <w:rFonts w:ascii="Arial" w:eastAsia="Arial" w:hAnsi="Arial" w:cs="Arial"/>
                <w:color w:val="404040" w:themeColor="text1" w:themeTint="BF"/>
                <w:sz w:val="18"/>
                <w:szCs w:val="18"/>
                <w:lang w:val="en-US" w:eastAsia="en-US" w:bidi="en-US"/>
              </w:rPr>
              <w:t>3</w:t>
            </w:r>
          </w:p>
        </w:tc>
        <w:tc>
          <w:tcPr>
            <w:tcW w:w="9213" w:type="dxa"/>
            <w:vAlign w:val="center"/>
          </w:tcPr>
          <w:p w14:paraId="6E645083" w14:textId="77777777" w:rsidR="00976717" w:rsidRPr="00EA6049" w:rsidRDefault="00976717" w:rsidP="00EA6049">
            <w:pPr>
              <w:spacing w:before="120"/>
              <w:ind w:left="0" w:firstLine="0"/>
              <w:jc w:val="both"/>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3. There are specific parameters for certain products and/or countries, which are included in the annex to the General Standard called "Specific Parameter List".</w:t>
            </w:r>
          </w:p>
        </w:tc>
      </w:tr>
      <w:tr w:rsidR="00976717" w:rsidRPr="00144E90" w14:paraId="421D8909" w14:textId="77777777" w:rsidTr="004721A9">
        <w:tc>
          <w:tcPr>
            <w:tcW w:w="880" w:type="dxa"/>
            <w:vAlign w:val="center"/>
          </w:tcPr>
          <w:p w14:paraId="373AA776" w14:textId="53D76E6C" w:rsidR="00976717" w:rsidRPr="00A41EE5" w:rsidRDefault="00142481" w:rsidP="004721A9">
            <w:pPr>
              <w:spacing w:before="120"/>
              <w:ind w:left="-15" w:hanging="45"/>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w:t>
            </w:r>
            <w:proofErr w:type="gramStart"/>
            <w:r w:rsidRPr="00A41EE5">
              <w:rPr>
                <w:rFonts w:ascii="Arial" w:eastAsia="Arial" w:hAnsi="Arial" w:cs="Arial"/>
                <w:color w:val="404040" w:themeColor="text1" w:themeTint="BF"/>
                <w:sz w:val="18"/>
                <w:szCs w:val="18"/>
                <w:lang w:val="en-US" w:eastAsia="en-US" w:bidi="en-US"/>
              </w:rPr>
              <w:t>1.a</w:t>
            </w:r>
            <w:r>
              <w:rPr>
                <w:rFonts w:ascii="Arial" w:eastAsia="Arial" w:hAnsi="Arial" w:cs="Arial"/>
                <w:color w:val="404040" w:themeColor="text1" w:themeTint="BF"/>
                <w:sz w:val="18"/>
                <w:szCs w:val="18"/>
                <w:lang w:val="en-US" w:eastAsia="en-US" w:bidi="en-US"/>
              </w:rPr>
              <w:t>.</w:t>
            </w:r>
            <w:proofErr w:type="gramEnd"/>
            <w:r>
              <w:rPr>
                <w:rFonts w:ascii="Arial" w:eastAsia="Arial" w:hAnsi="Arial" w:cs="Arial"/>
                <w:color w:val="404040" w:themeColor="text1" w:themeTint="BF"/>
                <w:sz w:val="18"/>
                <w:szCs w:val="18"/>
                <w:lang w:val="en-US" w:eastAsia="en-US" w:bidi="en-US"/>
              </w:rPr>
              <w:t>4</w:t>
            </w:r>
          </w:p>
        </w:tc>
        <w:tc>
          <w:tcPr>
            <w:tcW w:w="9213" w:type="dxa"/>
            <w:vAlign w:val="center"/>
          </w:tcPr>
          <w:p w14:paraId="60373C9F" w14:textId="77777777" w:rsidR="00976717" w:rsidRPr="00EA6049" w:rsidRDefault="00976717" w:rsidP="00EA6049">
            <w:pPr>
              <w:spacing w:before="120"/>
              <w:ind w:left="0" w:firstLine="0"/>
              <w:jc w:val="both"/>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 xml:space="preserve">4. In the case where the local parameters to define the small production (including variants such as small agroforesty production and harvesting) are different from what states this General Standard, a request can be presented to SPP GLOBAL to set the specific parameter, according to the </w:t>
            </w:r>
            <w:proofErr w:type="gramStart"/>
            <w:r w:rsidRPr="00EA6049">
              <w:rPr>
                <w:rFonts w:ascii="Arial" w:eastAsia="Arial" w:hAnsi="Arial" w:cs="Arial"/>
                <w:color w:val="404040" w:themeColor="text1" w:themeTint="BF"/>
                <w:lang w:val="en-US" w:eastAsia="en-US" w:bidi="en-US"/>
              </w:rPr>
              <w:t>procedures  for</w:t>
            </w:r>
            <w:proofErr w:type="gramEnd"/>
            <w:r w:rsidRPr="00EA6049">
              <w:rPr>
                <w:rFonts w:ascii="Arial" w:eastAsia="Arial" w:hAnsi="Arial" w:cs="Arial"/>
                <w:color w:val="404040" w:themeColor="text1" w:themeTint="BF"/>
                <w:lang w:val="en-US" w:eastAsia="en-US" w:bidi="en-US"/>
              </w:rPr>
              <w:t xml:space="preserve"> the definition standards.</w:t>
            </w:r>
          </w:p>
        </w:tc>
      </w:tr>
      <w:tr w:rsidR="00976717" w:rsidRPr="00144E90" w14:paraId="41177561" w14:textId="77777777" w:rsidTr="004721A9">
        <w:tc>
          <w:tcPr>
            <w:tcW w:w="880" w:type="dxa"/>
            <w:vAlign w:val="center"/>
          </w:tcPr>
          <w:p w14:paraId="021EFFFB" w14:textId="006CBB6F" w:rsidR="00976717" w:rsidRPr="00A41EE5" w:rsidRDefault="00142481" w:rsidP="004721A9">
            <w:pPr>
              <w:spacing w:before="120"/>
              <w:ind w:left="-15" w:hanging="45"/>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lastRenderedPageBreak/>
              <w:t>4.1.</w:t>
            </w:r>
            <w:proofErr w:type="gramStart"/>
            <w:r w:rsidRPr="00A41EE5">
              <w:rPr>
                <w:rFonts w:ascii="Arial" w:eastAsia="Arial" w:hAnsi="Arial" w:cs="Arial"/>
                <w:color w:val="404040" w:themeColor="text1" w:themeTint="BF"/>
                <w:sz w:val="18"/>
                <w:szCs w:val="18"/>
                <w:lang w:val="en-US" w:eastAsia="en-US" w:bidi="en-US"/>
              </w:rPr>
              <w:t>1.a</w:t>
            </w:r>
            <w:r>
              <w:rPr>
                <w:rFonts w:ascii="Arial" w:eastAsia="Arial" w:hAnsi="Arial" w:cs="Arial"/>
                <w:color w:val="404040" w:themeColor="text1" w:themeTint="BF"/>
                <w:sz w:val="18"/>
                <w:szCs w:val="18"/>
                <w:lang w:val="en-US" w:eastAsia="en-US" w:bidi="en-US"/>
              </w:rPr>
              <w:t>.</w:t>
            </w:r>
            <w:proofErr w:type="gramEnd"/>
            <w:r w:rsidR="00EB0E7E">
              <w:rPr>
                <w:rFonts w:ascii="Arial" w:eastAsia="Arial" w:hAnsi="Arial" w:cs="Arial"/>
                <w:color w:val="404040" w:themeColor="text1" w:themeTint="BF"/>
                <w:sz w:val="18"/>
                <w:szCs w:val="18"/>
                <w:lang w:val="en-US" w:eastAsia="en-US" w:bidi="en-US"/>
              </w:rPr>
              <w:t>5</w:t>
            </w:r>
          </w:p>
        </w:tc>
        <w:tc>
          <w:tcPr>
            <w:tcW w:w="9213" w:type="dxa"/>
            <w:vAlign w:val="center"/>
          </w:tcPr>
          <w:p w14:paraId="7A4EEE43" w14:textId="77777777" w:rsidR="00976717" w:rsidRPr="00EA6049" w:rsidRDefault="00976717" w:rsidP="00EA6049">
            <w:pPr>
              <w:spacing w:before="120"/>
              <w:ind w:left="0" w:firstLine="0"/>
              <w:jc w:val="both"/>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5. Not considered cases are subject to review and approval by SPP GLOBAL's Standards and Procedures Committee and Board of Directors.</w:t>
            </w:r>
          </w:p>
        </w:tc>
      </w:tr>
      <w:tr w:rsidR="00976717" w:rsidRPr="00144E90" w14:paraId="2FED0E6E" w14:textId="77777777" w:rsidTr="004721A9">
        <w:tc>
          <w:tcPr>
            <w:tcW w:w="880" w:type="dxa"/>
            <w:vAlign w:val="center"/>
          </w:tcPr>
          <w:p w14:paraId="3BFEF084" w14:textId="0267D91B" w:rsidR="00976717" w:rsidRPr="00A41EE5" w:rsidRDefault="00142481" w:rsidP="004721A9">
            <w:pPr>
              <w:spacing w:before="120" w:line="276" w:lineRule="auto"/>
              <w:ind w:left="-83" w:firstLine="0"/>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w:t>
            </w:r>
            <w:proofErr w:type="gramStart"/>
            <w:r w:rsidRPr="00A41EE5">
              <w:rPr>
                <w:rFonts w:ascii="Arial" w:eastAsia="Arial" w:hAnsi="Arial" w:cs="Arial"/>
                <w:color w:val="404040" w:themeColor="text1" w:themeTint="BF"/>
                <w:sz w:val="18"/>
                <w:szCs w:val="18"/>
                <w:lang w:val="en-US" w:eastAsia="en-US" w:bidi="en-US"/>
              </w:rPr>
              <w:t>1.</w:t>
            </w:r>
            <w:r w:rsidR="004721A9">
              <w:rPr>
                <w:rFonts w:ascii="Arial" w:eastAsia="Arial" w:hAnsi="Arial" w:cs="Arial"/>
                <w:color w:val="404040" w:themeColor="text1" w:themeTint="BF"/>
                <w:sz w:val="18"/>
                <w:szCs w:val="18"/>
                <w:lang w:val="en-US" w:eastAsia="en-US" w:bidi="en-US"/>
              </w:rPr>
              <w:t>b</w:t>
            </w:r>
            <w:proofErr w:type="gramEnd"/>
          </w:p>
        </w:tc>
        <w:tc>
          <w:tcPr>
            <w:tcW w:w="9213" w:type="dxa"/>
            <w:vAlign w:val="center"/>
          </w:tcPr>
          <w:p w14:paraId="3E5DCF78"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The means of production used by producers cannot be owned by a Buyer, as defined in this Standard.</w:t>
            </w:r>
          </w:p>
        </w:tc>
      </w:tr>
      <w:tr w:rsidR="00976717" w:rsidRPr="00144E90" w14:paraId="23BB2DFE" w14:textId="77777777" w:rsidTr="004721A9">
        <w:tc>
          <w:tcPr>
            <w:tcW w:w="880" w:type="dxa"/>
            <w:vAlign w:val="center"/>
          </w:tcPr>
          <w:p w14:paraId="344F51A7" w14:textId="65829D8F" w:rsidR="00976717" w:rsidRPr="00A41EE5" w:rsidRDefault="004721A9" w:rsidP="004721A9">
            <w:pPr>
              <w:spacing w:before="120" w:line="276" w:lineRule="auto"/>
              <w:ind w:left="-83" w:firstLine="0"/>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4.1.1.</w:t>
            </w:r>
            <w:r>
              <w:rPr>
                <w:rFonts w:ascii="Arial" w:eastAsia="Arial" w:hAnsi="Arial" w:cs="Arial"/>
                <w:color w:val="404040" w:themeColor="text1" w:themeTint="BF"/>
                <w:sz w:val="18"/>
                <w:szCs w:val="18"/>
                <w:lang w:val="en-US" w:eastAsia="en-US" w:bidi="en-US"/>
              </w:rPr>
              <w:t>c</w:t>
            </w:r>
          </w:p>
        </w:tc>
        <w:tc>
          <w:tcPr>
            <w:tcW w:w="9213" w:type="dxa"/>
            <w:vAlign w:val="center"/>
          </w:tcPr>
          <w:p w14:paraId="61FC3647"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Producers operate their Production Units for the products to be included in the certification mostly with their own labor force, family labor or through community labor exchanges. Of the average amount of the wages for hired labor (outside the harvest season), half or less may correspond to third parties. Over half of the total labor force may be hired in the following cases:</w:t>
            </w:r>
          </w:p>
        </w:tc>
      </w:tr>
      <w:tr w:rsidR="00976717" w:rsidRPr="00144E90" w14:paraId="3CFA1771" w14:textId="77777777" w:rsidTr="004721A9">
        <w:tc>
          <w:tcPr>
            <w:tcW w:w="880" w:type="dxa"/>
            <w:vAlign w:val="center"/>
          </w:tcPr>
          <w:p w14:paraId="5EE027D6"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58653048"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 Products requiring intensive labor (e.g., fruit harvested ongoing, such as bananas).</w:t>
            </w:r>
          </w:p>
        </w:tc>
      </w:tr>
      <w:tr w:rsidR="00976717" w:rsidRPr="00144E90" w14:paraId="6D9240E8" w14:textId="77777777" w:rsidTr="004721A9">
        <w:tc>
          <w:tcPr>
            <w:tcW w:w="880" w:type="dxa"/>
            <w:vAlign w:val="center"/>
          </w:tcPr>
          <w:p w14:paraId="6162295C"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0DD98A10"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ii. Producers over 60 years old.</w:t>
            </w:r>
          </w:p>
        </w:tc>
      </w:tr>
      <w:tr w:rsidR="00976717" w:rsidRPr="00144E90" w14:paraId="05B69321" w14:textId="77777777" w:rsidTr="004721A9">
        <w:tc>
          <w:tcPr>
            <w:tcW w:w="880" w:type="dxa"/>
            <w:vAlign w:val="center"/>
          </w:tcPr>
          <w:p w14:paraId="1ED0EDDC"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5041C1D9"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iii. Producers with disabilities who cannot carry out productive activities.</w:t>
            </w:r>
          </w:p>
        </w:tc>
      </w:tr>
      <w:tr w:rsidR="00976717" w:rsidRPr="00144E90" w14:paraId="0A6E156E" w14:textId="77777777" w:rsidTr="004721A9">
        <w:tc>
          <w:tcPr>
            <w:tcW w:w="880" w:type="dxa"/>
            <w:vAlign w:val="center"/>
          </w:tcPr>
          <w:p w14:paraId="4836FEAD"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00D51AB4"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iv. Producers with illnesses that prevent carrying out production work.</w:t>
            </w:r>
          </w:p>
        </w:tc>
      </w:tr>
      <w:tr w:rsidR="00976717" w:rsidRPr="00144E90" w14:paraId="4D950893" w14:textId="77777777" w:rsidTr="004721A9">
        <w:tc>
          <w:tcPr>
            <w:tcW w:w="880" w:type="dxa"/>
            <w:vAlign w:val="center"/>
          </w:tcPr>
          <w:p w14:paraId="3C38CC9E"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6A0E9C74"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v. Producers without a sufficient family labor force available to carry out the work in the Production Unit.</w:t>
            </w:r>
          </w:p>
        </w:tc>
      </w:tr>
      <w:tr w:rsidR="00976717" w:rsidRPr="00144E90" w14:paraId="41DF23B5" w14:textId="77777777" w:rsidTr="004721A9">
        <w:tc>
          <w:tcPr>
            <w:tcW w:w="880" w:type="dxa"/>
            <w:vAlign w:val="center"/>
          </w:tcPr>
          <w:p w14:paraId="6976C199"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0BEDEE64"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vi. Producers who hold a position in the organization or on a committee in the Small Producers’ Organization, preventing them from attending to their production work.</w:t>
            </w:r>
          </w:p>
        </w:tc>
      </w:tr>
      <w:tr w:rsidR="00976717" w:rsidRPr="00144E90" w14:paraId="698322F2" w14:textId="77777777" w:rsidTr="004721A9">
        <w:tc>
          <w:tcPr>
            <w:tcW w:w="880" w:type="dxa"/>
            <w:vAlign w:val="center"/>
          </w:tcPr>
          <w:p w14:paraId="2869A521" w14:textId="77777777" w:rsidR="00976717" w:rsidRPr="00A41EE5" w:rsidRDefault="00976717" w:rsidP="004721A9">
            <w:pPr>
              <w:spacing w:before="120"/>
              <w:ind w:left="-83" w:hanging="104"/>
              <w:jc w:val="both"/>
              <w:rPr>
                <w:rFonts w:ascii="Arial" w:eastAsia="Arial" w:hAnsi="Arial" w:cs="Arial"/>
                <w:color w:val="404040" w:themeColor="text1" w:themeTint="BF"/>
                <w:sz w:val="18"/>
                <w:szCs w:val="18"/>
                <w:lang w:val="en-US" w:eastAsia="en-US" w:bidi="en-US"/>
              </w:rPr>
            </w:pPr>
          </w:p>
        </w:tc>
        <w:tc>
          <w:tcPr>
            <w:tcW w:w="9213" w:type="dxa"/>
            <w:vAlign w:val="center"/>
          </w:tcPr>
          <w:p w14:paraId="77F0BCAD"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vii. Producers who are pregnant.</w:t>
            </w:r>
          </w:p>
        </w:tc>
      </w:tr>
      <w:tr w:rsidR="00976717" w:rsidRPr="00144E90" w14:paraId="3F16150A" w14:textId="77777777" w:rsidTr="004721A9">
        <w:tc>
          <w:tcPr>
            <w:tcW w:w="880" w:type="dxa"/>
            <w:vAlign w:val="center"/>
          </w:tcPr>
          <w:p w14:paraId="66E07F8B" w14:textId="7A294AA5" w:rsidR="00976717" w:rsidRPr="00A41EE5" w:rsidRDefault="004721A9" w:rsidP="004721A9">
            <w:pPr>
              <w:spacing w:before="120" w:line="276" w:lineRule="auto"/>
              <w:ind w:left="-83" w:firstLine="0"/>
              <w:jc w:val="both"/>
              <w:rPr>
                <w:rFonts w:ascii="Arial" w:eastAsia="Arial" w:hAnsi="Arial" w:cs="Arial"/>
                <w:color w:val="404040" w:themeColor="text1" w:themeTint="BF"/>
                <w:sz w:val="18"/>
                <w:szCs w:val="18"/>
                <w:lang w:val="en-US" w:eastAsia="en-US" w:bidi="en-US"/>
              </w:rPr>
            </w:pPr>
            <w:r w:rsidRPr="00A41EE5">
              <w:rPr>
                <w:rFonts w:ascii="Arial" w:eastAsia="Arial" w:hAnsi="Arial" w:cs="Arial"/>
                <w:color w:val="404040" w:themeColor="text1" w:themeTint="BF"/>
                <w:sz w:val="18"/>
                <w:szCs w:val="18"/>
                <w:lang w:val="en-US" w:eastAsia="en-US" w:bidi="en-US"/>
              </w:rPr>
              <w:t>4.1.</w:t>
            </w:r>
            <w:proofErr w:type="gramStart"/>
            <w:r w:rsidRPr="00A41EE5">
              <w:rPr>
                <w:rFonts w:ascii="Arial" w:eastAsia="Arial" w:hAnsi="Arial" w:cs="Arial"/>
                <w:color w:val="404040" w:themeColor="text1" w:themeTint="BF"/>
                <w:sz w:val="18"/>
                <w:szCs w:val="18"/>
                <w:lang w:val="en-US" w:eastAsia="en-US" w:bidi="en-US"/>
              </w:rPr>
              <w:t>1.</w:t>
            </w:r>
            <w:r>
              <w:rPr>
                <w:rFonts w:ascii="Arial" w:eastAsia="Arial" w:hAnsi="Arial" w:cs="Arial"/>
                <w:color w:val="404040" w:themeColor="text1" w:themeTint="BF"/>
                <w:sz w:val="18"/>
                <w:szCs w:val="18"/>
                <w:lang w:val="en-US" w:eastAsia="en-US" w:bidi="en-US"/>
              </w:rPr>
              <w:t>d</w:t>
            </w:r>
            <w:proofErr w:type="gramEnd"/>
          </w:p>
        </w:tc>
        <w:tc>
          <w:tcPr>
            <w:tcW w:w="9213" w:type="dxa"/>
            <w:vAlign w:val="center"/>
          </w:tcPr>
          <w:p w14:paraId="4D89EB56"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Producers are personally involved in productive activities and in the activities of the Small Producers’ Organization, except when a health condition prevents such involvement.</w:t>
            </w:r>
          </w:p>
        </w:tc>
      </w:tr>
      <w:tr w:rsidR="00976717" w:rsidRPr="00144E90" w14:paraId="42D5BCF3" w14:textId="77777777" w:rsidTr="004721A9">
        <w:tc>
          <w:tcPr>
            <w:tcW w:w="880" w:type="dxa"/>
            <w:vAlign w:val="center"/>
          </w:tcPr>
          <w:p w14:paraId="4D31EF75"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4.1.2</w:t>
            </w:r>
          </w:p>
        </w:tc>
        <w:tc>
          <w:tcPr>
            <w:tcW w:w="9213" w:type="dxa"/>
            <w:vAlign w:val="center"/>
          </w:tcPr>
          <w:p w14:paraId="0FBC38A5"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In the case of Collective Production Units, the size of an entire unit depends on the number of producers in the organization owning a Collective Production Unit, considering the criteria described above for individual Production Units as a proportional part corresponding to each member.</w:t>
            </w:r>
          </w:p>
        </w:tc>
      </w:tr>
      <w:tr w:rsidR="00976717" w:rsidRPr="00144E90" w14:paraId="6D1747C6" w14:textId="77777777" w:rsidTr="004721A9">
        <w:tc>
          <w:tcPr>
            <w:tcW w:w="880" w:type="dxa"/>
            <w:vAlign w:val="center"/>
          </w:tcPr>
          <w:p w14:paraId="1CBE9A29"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4.1.3</w:t>
            </w:r>
          </w:p>
        </w:tc>
        <w:tc>
          <w:tcPr>
            <w:tcW w:w="9213" w:type="dxa"/>
            <w:vAlign w:val="center"/>
          </w:tcPr>
          <w:p w14:paraId="572CCF3D"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In the case of a second or third-level Small Producers’ Organization seeking certification under this Standard, all of its members must be Small Producers’ Organizations, as defined in this document, and for the purposes of this Standard, will be considered as part of the same organization.</w:t>
            </w:r>
          </w:p>
        </w:tc>
      </w:tr>
      <w:tr w:rsidR="00976717" w:rsidRPr="00976717" w14:paraId="638E2DFB" w14:textId="77777777" w:rsidTr="004721A9">
        <w:tc>
          <w:tcPr>
            <w:tcW w:w="880" w:type="dxa"/>
            <w:shd w:val="clear" w:color="auto" w:fill="D9D9D9"/>
            <w:vAlign w:val="center"/>
          </w:tcPr>
          <w:p w14:paraId="3129775C"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4.2 </w:t>
            </w:r>
          </w:p>
        </w:tc>
        <w:tc>
          <w:tcPr>
            <w:tcW w:w="9213" w:type="dxa"/>
            <w:shd w:val="clear" w:color="auto" w:fill="D9D9D9"/>
            <w:vAlign w:val="center"/>
          </w:tcPr>
          <w:p w14:paraId="1ED4C4CA"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ORGANIZATIONAL CRITERIA</w:t>
            </w:r>
          </w:p>
        </w:tc>
      </w:tr>
      <w:tr w:rsidR="00976717" w:rsidRPr="00144E90" w14:paraId="470F9376" w14:textId="77777777" w:rsidTr="004721A9">
        <w:tc>
          <w:tcPr>
            <w:tcW w:w="880" w:type="dxa"/>
            <w:vAlign w:val="center"/>
          </w:tcPr>
          <w:p w14:paraId="6086E3A7"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4.2.1 </w:t>
            </w:r>
          </w:p>
        </w:tc>
        <w:tc>
          <w:tcPr>
            <w:tcW w:w="9213" w:type="dxa"/>
            <w:vAlign w:val="center"/>
          </w:tcPr>
          <w:p w14:paraId="31D865F8"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Each Small Producers' Organization is legally incorporated and has a current listing of all its members, indicating minimally:</w:t>
            </w:r>
          </w:p>
          <w:p w14:paraId="2C392A83" w14:textId="65AAB517" w:rsidR="00EA6049" w:rsidRPr="00EA6049" w:rsidRDefault="00EA6049" w:rsidP="000A28F8">
            <w:pPr>
              <w:pStyle w:val="Prrafodelista"/>
              <w:numPr>
                <w:ilvl w:val="0"/>
                <w:numId w:val="45"/>
              </w:numPr>
              <w:spacing w:after="0"/>
              <w:ind w:left="347" w:hanging="205"/>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Name of Producers</w:t>
            </w:r>
          </w:p>
          <w:p w14:paraId="2820A441" w14:textId="24FC347E" w:rsidR="00EA6049" w:rsidRPr="00EA6049" w:rsidRDefault="00EA6049" w:rsidP="000A28F8">
            <w:pPr>
              <w:pStyle w:val="Prrafodelista"/>
              <w:numPr>
                <w:ilvl w:val="0"/>
                <w:numId w:val="45"/>
              </w:numPr>
              <w:spacing w:after="0"/>
              <w:ind w:left="347" w:hanging="205"/>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Name of Locality</w:t>
            </w:r>
          </w:p>
          <w:p w14:paraId="074A2217" w14:textId="7D6D92C3" w:rsidR="00EA6049" w:rsidRPr="00EA6049" w:rsidRDefault="00EA6049" w:rsidP="000A28F8">
            <w:pPr>
              <w:pStyle w:val="Prrafodelista"/>
              <w:numPr>
                <w:ilvl w:val="0"/>
                <w:numId w:val="45"/>
              </w:numPr>
              <w:spacing w:after="0"/>
              <w:ind w:left="347" w:hanging="205"/>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 xml:space="preserve">Size of Production Unit, by product to be included in the </w:t>
            </w:r>
            <w:proofErr w:type="gramStart"/>
            <w:r w:rsidRPr="00EA6049">
              <w:rPr>
                <w:rFonts w:ascii="Arial" w:eastAsia="Arial" w:hAnsi="Arial" w:cs="Arial"/>
                <w:color w:val="404040" w:themeColor="text1" w:themeTint="BF"/>
                <w:lang w:val="en-US" w:eastAsia="en-US" w:bidi="en-US"/>
              </w:rPr>
              <w:t>certification</w:t>
            </w:r>
            <w:proofErr w:type="gramEnd"/>
          </w:p>
          <w:p w14:paraId="420A82FA" w14:textId="7A7F24CF" w:rsidR="00EA6049" w:rsidRPr="00EA6049" w:rsidRDefault="00EA6049" w:rsidP="000A28F8">
            <w:pPr>
              <w:pStyle w:val="Prrafodelista"/>
              <w:numPr>
                <w:ilvl w:val="0"/>
                <w:numId w:val="45"/>
              </w:numPr>
              <w:spacing w:after="0"/>
              <w:ind w:left="347" w:hanging="205"/>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 xml:space="preserve">Annual production for each product to be included in the </w:t>
            </w:r>
            <w:proofErr w:type="gramStart"/>
            <w:r w:rsidRPr="00EA6049">
              <w:rPr>
                <w:rFonts w:ascii="Arial" w:eastAsia="Arial" w:hAnsi="Arial" w:cs="Arial"/>
                <w:color w:val="404040" w:themeColor="text1" w:themeTint="BF"/>
                <w:lang w:val="en-US" w:eastAsia="en-US" w:bidi="en-US"/>
              </w:rPr>
              <w:t>certification</w:t>
            </w:r>
            <w:proofErr w:type="gramEnd"/>
          </w:p>
          <w:p w14:paraId="1DD9C963" w14:textId="16046EE4" w:rsidR="00976717" w:rsidRPr="000A28F8" w:rsidRDefault="00EA6049" w:rsidP="000A28F8">
            <w:pPr>
              <w:pStyle w:val="Prrafodelista"/>
              <w:numPr>
                <w:ilvl w:val="0"/>
                <w:numId w:val="45"/>
              </w:numPr>
              <w:tabs>
                <w:tab w:val="center" w:pos="5210"/>
              </w:tabs>
              <w:ind w:left="346" w:hanging="204"/>
              <w:contextualSpacing w:val="0"/>
              <w:rPr>
                <w:rFonts w:ascii="Arial" w:eastAsia="Arial" w:hAnsi="Arial" w:cs="Arial"/>
                <w:color w:val="404040" w:themeColor="text1" w:themeTint="BF"/>
                <w:lang w:val="en-US" w:eastAsia="en-US" w:bidi="en-US"/>
              </w:rPr>
            </w:pPr>
            <w:r w:rsidRPr="00EA6049">
              <w:rPr>
                <w:rFonts w:ascii="Arial" w:eastAsia="Arial" w:hAnsi="Arial" w:cs="Arial"/>
                <w:color w:val="404040" w:themeColor="text1" w:themeTint="BF"/>
                <w:lang w:val="en-US" w:eastAsia="en-US" w:bidi="en-US"/>
              </w:rPr>
              <w:t>Should be validated both internally and externally.</w:t>
            </w:r>
          </w:p>
        </w:tc>
      </w:tr>
      <w:tr w:rsidR="00976717" w:rsidRPr="00144E90" w14:paraId="70DF4964" w14:textId="77777777" w:rsidTr="004721A9">
        <w:tc>
          <w:tcPr>
            <w:tcW w:w="880" w:type="dxa"/>
            <w:vAlign w:val="center"/>
          </w:tcPr>
          <w:p w14:paraId="3B98EE0F"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4.2.2 </w:t>
            </w:r>
          </w:p>
        </w:tc>
        <w:tc>
          <w:tcPr>
            <w:tcW w:w="9213" w:type="dxa"/>
            <w:vAlign w:val="center"/>
          </w:tcPr>
          <w:p w14:paraId="74F18745"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The highest authority for each Small Producers’ Organization is its General Assembly (with the name used locally), which meets at least once a year in regular or special sessions, under the statutes of the </w:t>
            </w:r>
            <w:proofErr w:type="gramStart"/>
            <w:r w:rsidRPr="00976717">
              <w:rPr>
                <w:rFonts w:ascii="Arial" w:eastAsia="Arial" w:hAnsi="Arial" w:cs="Arial"/>
                <w:color w:val="404040" w:themeColor="text1" w:themeTint="BF"/>
                <w:lang w:val="en-US" w:eastAsia="en-US" w:bidi="en-US"/>
              </w:rPr>
              <w:lastRenderedPageBreak/>
              <w:t>particular organization</w:t>
            </w:r>
            <w:proofErr w:type="gramEnd"/>
            <w:r w:rsidRPr="00976717">
              <w:rPr>
                <w:rFonts w:ascii="Arial" w:eastAsia="Arial" w:hAnsi="Arial" w:cs="Arial"/>
                <w:color w:val="404040" w:themeColor="text1" w:themeTint="BF"/>
                <w:lang w:val="en-US" w:eastAsia="en-US" w:bidi="en-US"/>
              </w:rPr>
              <w:t>. The General Assembly includes all members of the organization, unless a system of representation has been agreed upon internally.</w:t>
            </w:r>
          </w:p>
        </w:tc>
      </w:tr>
      <w:tr w:rsidR="00976717" w:rsidRPr="00144E90" w14:paraId="71805563" w14:textId="77777777" w:rsidTr="004721A9">
        <w:tc>
          <w:tcPr>
            <w:tcW w:w="880" w:type="dxa"/>
            <w:vAlign w:val="center"/>
          </w:tcPr>
          <w:p w14:paraId="410F6DC0"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lastRenderedPageBreak/>
              <w:t xml:space="preserve">4.2.3 </w:t>
            </w:r>
          </w:p>
        </w:tc>
        <w:tc>
          <w:tcPr>
            <w:tcW w:w="9213" w:type="dxa"/>
            <w:vAlign w:val="center"/>
          </w:tcPr>
          <w:p w14:paraId="07F2324C"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The organization has a Board of Directors (the name used locally), which is responsible for following up on the agreements reached by the General Assembly and overseeing the operations of the Small Producers’ Organization. The Board, together with the operations team, reports to the General Assembly of the Small Producers’ Organization at least on an annual basis, regarding the results of its work and the status of the organization.</w:t>
            </w:r>
          </w:p>
        </w:tc>
      </w:tr>
      <w:tr w:rsidR="00976717" w:rsidRPr="00144E90" w14:paraId="6B7577D9" w14:textId="77777777" w:rsidTr="004721A9">
        <w:tc>
          <w:tcPr>
            <w:tcW w:w="880" w:type="dxa"/>
            <w:vAlign w:val="center"/>
          </w:tcPr>
          <w:p w14:paraId="6358B79D" w14:textId="77777777" w:rsidR="00976717" w:rsidRPr="00976717" w:rsidRDefault="00976717" w:rsidP="00A41EE5">
            <w:pPr>
              <w:spacing w:before="120"/>
              <w:ind w:left="59" w:hanging="104"/>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 xml:space="preserve">4.2.4 </w:t>
            </w:r>
          </w:p>
        </w:tc>
        <w:tc>
          <w:tcPr>
            <w:tcW w:w="9213" w:type="dxa"/>
            <w:vAlign w:val="center"/>
          </w:tcPr>
          <w:p w14:paraId="5D88FD97" w14:textId="77777777" w:rsidR="00976717" w:rsidRPr="00976717" w:rsidRDefault="00976717" w:rsidP="00EA6049">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The Small Producers’ Organization is not formally subjected to any decisions made by political parties, government entities or businesses (buyers).</w:t>
            </w:r>
          </w:p>
        </w:tc>
      </w:tr>
      <w:tr w:rsidR="00EA6049" w:rsidRPr="00144E90" w14:paraId="639EFE31" w14:textId="77777777" w:rsidTr="004721A9">
        <w:tc>
          <w:tcPr>
            <w:tcW w:w="880" w:type="dxa"/>
            <w:vAlign w:val="center"/>
          </w:tcPr>
          <w:p w14:paraId="24E60A50" w14:textId="5D62CB13" w:rsidR="00EA6049" w:rsidRPr="00144E90" w:rsidRDefault="004721A9" w:rsidP="00A41EE5">
            <w:pPr>
              <w:spacing w:before="120"/>
              <w:ind w:left="59" w:hanging="104"/>
              <w:jc w:val="both"/>
              <w:rPr>
                <w:rFonts w:ascii="Arial" w:eastAsia="Arial" w:hAnsi="Arial" w:cs="Arial"/>
                <w:color w:val="E36C0A" w:themeColor="accent6" w:themeShade="BF"/>
                <w:lang w:val="en-US" w:eastAsia="en-US" w:bidi="en-US"/>
              </w:rPr>
            </w:pPr>
            <w:r w:rsidRPr="00144E90">
              <w:rPr>
                <w:rFonts w:ascii="Arial" w:eastAsia="Arial" w:hAnsi="Arial" w:cs="Arial"/>
                <w:color w:val="E36C0A" w:themeColor="accent6" w:themeShade="BF"/>
                <w:lang w:val="en-US" w:eastAsia="en-US" w:bidi="en-US"/>
              </w:rPr>
              <w:t>4.2.11</w:t>
            </w:r>
          </w:p>
        </w:tc>
        <w:tc>
          <w:tcPr>
            <w:tcW w:w="9213" w:type="dxa"/>
            <w:vAlign w:val="center"/>
          </w:tcPr>
          <w:p w14:paraId="2826628A" w14:textId="0D89468C" w:rsidR="00EA6049" w:rsidRPr="00144E90" w:rsidRDefault="00532228" w:rsidP="00EA6049">
            <w:pPr>
              <w:spacing w:before="120"/>
              <w:ind w:left="0" w:firstLine="0"/>
              <w:jc w:val="both"/>
              <w:rPr>
                <w:rFonts w:ascii="Arial" w:eastAsia="Arial" w:hAnsi="Arial" w:cs="Arial"/>
                <w:color w:val="E36C0A" w:themeColor="accent6" w:themeShade="BF"/>
                <w:lang w:val="en-US" w:eastAsia="en-US" w:bidi="en-US"/>
              </w:rPr>
            </w:pPr>
            <w:r w:rsidRPr="00144E90">
              <w:rPr>
                <w:rFonts w:ascii="Arial" w:eastAsia="Arial" w:hAnsi="Arial" w:cs="Arial"/>
                <w:color w:val="E36C0A" w:themeColor="accent6" w:themeShade="BF"/>
                <w:lang w:val="en-US" w:eastAsia="en-US" w:bidi="en-US"/>
              </w:rPr>
              <w:t>Within a Small Producers' Organization, the distribution of eventual returns resulting from commercial operation must be equitable, in accordance with the volume of product that each producer contributes to the total amount sold.</w:t>
            </w:r>
          </w:p>
        </w:tc>
      </w:tr>
      <w:tr w:rsidR="00EA6049" w:rsidRPr="00144E90" w14:paraId="7BC7A0CC" w14:textId="77777777" w:rsidTr="004721A9">
        <w:tc>
          <w:tcPr>
            <w:tcW w:w="880" w:type="dxa"/>
            <w:vAlign w:val="center"/>
          </w:tcPr>
          <w:p w14:paraId="60384493" w14:textId="547C8F0D" w:rsidR="00EA6049" w:rsidRPr="00144E90" w:rsidRDefault="004721A9" w:rsidP="004721A9">
            <w:pPr>
              <w:spacing w:before="120"/>
              <w:ind w:left="0" w:hanging="45"/>
              <w:jc w:val="both"/>
              <w:rPr>
                <w:rFonts w:ascii="Arial" w:eastAsia="Arial" w:hAnsi="Arial" w:cs="Arial"/>
                <w:color w:val="E36C0A" w:themeColor="accent6" w:themeShade="BF"/>
                <w:sz w:val="18"/>
                <w:szCs w:val="18"/>
                <w:lang w:val="en-US" w:eastAsia="en-US" w:bidi="en-US"/>
              </w:rPr>
            </w:pPr>
            <w:r w:rsidRPr="00144E90">
              <w:rPr>
                <w:rFonts w:ascii="Arial" w:eastAsia="Arial" w:hAnsi="Arial" w:cs="Arial"/>
                <w:color w:val="E36C0A" w:themeColor="accent6" w:themeShade="BF"/>
                <w:sz w:val="18"/>
                <w:szCs w:val="18"/>
                <w:lang w:val="en-US" w:eastAsia="en-US" w:bidi="en-US"/>
              </w:rPr>
              <w:t>4.2.</w:t>
            </w:r>
            <w:proofErr w:type="gramStart"/>
            <w:r w:rsidRPr="00144E90">
              <w:rPr>
                <w:rFonts w:ascii="Arial" w:eastAsia="Arial" w:hAnsi="Arial" w:cs="Arial"/>
                <w:color w:val="E36C0A" w:themeColor="accent6" w:themeShade="BF"/>
                <w:sz w:val="18"/>
                <w:szCs w:val="18"/>
                <w:lang w:val="en-US" w:eastAsia="en-US" w:bidi="en-US"/>
              </w:rPr>
              <w:t>11.a</w:t>
            </w:r>
            <w:proofErr w:type="gramEnd"/>
          </w:p>
        </w:tc>
        <w:tc>
          <w:tcPr>
            <w:tcW w:w="9213" w:type="dxa"/>
            <w:vAlign w:val="center"/>
          </w:tcPr>
          <w:p w14:paraId="69ABB83B" w14:textId="12BC9432" w:rsidR="00EA6049" w:rsidRPr="00144E90" w:rsidRDefault="00532228" w:rsidP="00EA6049">
            <w:pPr>
              <w:spacing w:before="120"/>
              <w:ind w:left="0" w:firstLine="0"/>
              <w:jc w:val="both"/>
              <w:rPr>
                <w:rFonts w:ascii="Arial" w:eastAsia="Arial" w:hAnsi="Arial" w:cs="Arial"/>
                <w:color w:val="E36C0A" w:themeColor="accent6" w:themeShade="BF"/>
                <w:lang w:val="en-US" w:eastAsia="en-US" w:bidi="en-US"/>
              </w:rPr>
            </w:pPr>
            <w:proofErr w:type="gramStart"/>
            <w:r w:rsidRPr="00144E90">
              <w:rPr>
                <w:rFonts w:ascii="Arial" w:eastAsia="Arial" w:hAnsi="Arial" w:cs="Arial"/>
                <w:color w:val="E36C0A" w:themeColor="accent6" w:themeShade="BF"/>
                <w:lang w:val="en-US" w:eastAsia="en-US" w:bidi="en-US"/>
              </w:rPr>
              <w:t>In the event that</w:t>
            </w:r>
            <w:proofErr w:type="gramEnd"/>
            <w:r w:rsidRPr="00144E90">
              <w:rPr>
                <w:rFonts w:ascii="Arial" w:eastAsia="Arial" w:hAnsi="Arial" w:cs="Arial"/>
                <w:color w:val="E36C0A" w:themeColor="accent6" w:themeShade="BF"/>
                <w:lang w:val="en-US" w:eastAsia="en-US" w:bidi="en-US"/>
              </w:rPr>
              <w:t xml:space="preserve"> there are remunerations for items that are not directly related to the volume sold, criteria of equal rights must be applied.</w:t>
            </w:r>
          </w:p>
        </w:tc>
      </w:tr>
      <w:tr w:rsidR="00EA6049" w:rsidRPr="00144E90" w14:paraId="5EE7836E" w14:textId="77777777" w:rsidTr="004721A9">
        <w:tc>
          <w:tcPr>
            <w:tcW w:w="880" w:type="dxa"/>
            <w:vAlign w:val="center"/>
          </w:tcPr>
          <w:p w14:paraId="1C9DF9A3" w14:textId="2C58E236" w:rsidR="00EA6049" w:rsidRPr="00144E90" w:rsidRDefault="004721A9" w:rsidP="004721A9">
            <w:pPr>
              <w:spacing w:before="120"/>
              <w:ind w:left="0" w:hanging="45"/>
              <w:jc w:val="both"/>
              <w:rPr>
                <w:rFonts w:ascii="Arial" w:eastAsia="Arial" w:hAnsi="Arial" w:cs="Arial"/>
                <w:color w:val="E36C0A" w:themeColor="accent6" w:themeShade="BF"/>
                <w:sz w:val="18"/>
                <w:szCs w:val="18"/>
                <w:lang w:val="en-US" w:eastAsia="en-US" w:bidi="en-US"/>
              </w:rPr>
            </w:pPr>
            <w:r w:rsidRPr="00144E90">
              <w:rPr>
                <w:rFonts w:ascii="Arial" w:eastAsia="Arial" w:hAnsi="Arial" w:cs="Arial"/>
                <w:color w:val="E36C0A" w:themeColor="accent6" w:themeShade="BF"/>
                <w:sz w:val="18"/>
                <w:szCs w:val="18"/>
                <w:lang w:val="en-US" w:eastAsia="en-US" w:bidi="en-US"/>
              </w:rPr>
              <w:t>4.2.</w:t>
            </w:r>
            <w:proofErr w:type="gramStart"/>
            <w:r w:rsidRPr="00144E90">
              <w:rPr>
                <w:rFonts w:ascii="Arial" w:eastAsia="Arial" w:hAnsi="Arial" w:cs="Arial"/>
                <w:color w:val="E36C0A" w:themeColor="accent6" w:themeShade="BF"/>
                <w:sz w:val="18"/>
                <w:szCs w:val="18"/>
                <w:lang w:val="en-US" w:eastAsia="en-US" w:bidi="en-US"/>
              </w:rPr>
              <w:t>11.b</w:t>
            </w:r>
            <w:proofErr w:type="gramEnd"/>
          </w:p>
        </w:tc>
        <w:tc>
          <w:tcPr>
            <w:tcW w:w="9213" w:type="dxa"/>
            <w:vAlign w:val="center"/>
          </w:tcPr>
          <w:p w14:paraId="737EB4B5" w14:textId="63693BDD" w:rsidR="00EA6049" w:rsidRPr="00144E90" w:rsidRDefault="00532228" w:rsidP="00EA6049">
            <w:pPr>
              <w:spacing w:before="120"/>
              <w:ind w:left="0" w:firstLine="0"/>
              <w:jc w:val="both"/>
              <w:rPr>
                <w:rFonts w:ascii="Arial" w:eastAsia="Arial" w:hAnsi="Arial" w:cs="Arial"/>
                <w:color w:val="E36C0A" w:themeColor="accent6" w:themeShade="BF"/>
                <w:lang w:val="en-US" w:eastAsia="en-US" w:bidi="en-US"/>
              </w:rPr>
            </w:pPr>
            <w:r w:rsidRPr="00144E90">
              <w:rPr>
                <w:rFonts w:ascii="Arial" w:eastAsia="Arial" w:hAnsi="Arial" w:cs="Arial"/>
                <w:color w:val="E36C0A" w:themeColor="accent6" w:themeShade="BF"/>
                <w:lang w:val="en-US" w:eastAsia="en-US" w:bidi="en-US"/>
              </w:rPr>
              <w:t>In the case of a company with shareholders, the distribution of dividends should at no time be based on the number of shares of the different members of the organization, except in the case in which all producer members have the same number of shares at the time of distribution.</w:t>
            </w:r>
          </w:p>
        </w:tc>
      </w:tr>
    </w:tbl>
    <w:p w14:paraId="1483B28D" w14:textId="77777777" w:rsidR="00976717" w:rsidRPr="00976717" w:rsidRDefault="00976717" w:rsidP="00976717">
      <w:pPr>
        <w:spacing w:before="120"/>
        <w:jc w:val="both"/>
        <w:rPr>
          <w:rFonts w:ascii="Arial" w:eastAsia="Arial" w:hAnsi="Arial" w:cs="Arial"/>
          <w:color w:val="404040" w:themeColor="text1" w:themeTint="BF"/>
          <w:lang w:val="en-US" w:eastAsia="en-US" w:bidi="en-US"/>
        </w:rPr>
      </w:pPr>
    </w:p>
    <w:p w14:paraId="1B65824C" w14:textId="0DAB956F" w:rsidR="00976717" w:rsidRPr="00976717" w:rsidRDefault="00976717" w:rsidP="00EB0E7E">
      <w:pPr>
        <w:spacing w:before="120"/>
        <w:ind w:left="0" w:firstLine="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We submit this Statement of Compliance from</w:t>
      </w:r>
      <w:r w:rsidR="00EB0E7E">
        <w:rPr>
          <w:rFonts w:ascii="Arial" w:eastAsia="Arial" w:hAnsi="Arial" w:cs="Arial"/>
          <w:color w:val="404040" w:themeColor="text1" w:themeTint="BF"/>
          <w:lang w:val="en-US" w:eastAsia="en-US" w:bidi="en-US"/>
        </w:rPr>
        <w:t xml:space="preserve"> </w:t>
      </w:r>
      <w:sdt>
        <w:sdtPr>
          <w:rPr>
            <w:rFonts w:ascii="Arial" w:eastAsia="Arial" w:hAnsi="Arial" w:cs="Arial"/>
            <w:color w:val="404040" w:themeColor="text1" w:themeTint="BF"/>
            <w:lang w:val="en-US" w:eastAsia="en-US" w:bidi="en-US"/>
          </w:rPr>
          <w:id w:val="354469666"/>
          <w:placeholder>
            <w:docPart w:val="DefaultPlaceholder_-1854013440"/>
          </w:placeholder>
        </w:sdtPr>
        <w:sdtEndPr>
          <w:rPr>
            <w:i/>
            <w:iCs/>
            <w:color w:val="4F81BD" w:themeColor="accent1"/>
          </w:rPr>
        </w:sdtEndPr>
        <w:sdtContent>
          <w:r w:rsidRPr="00EB0E7E">
            <w:rPr>
              <w:rFonts w:ascii="Arial" w:eastAsia="Arial" w:hAnsi="Arial" w:cs="Arial"/>
              <w:i/>
              <w:iCs/>
              <w:color w:val="4F81BD" w:themeColor="accent1"/>
              <w:lang w:val="en-US" w:eastAsia="en-US" w:bidi="en-US"/>
            </w:rPr>
            <w:t>Place and Date</w:t>
          </w:r>
        </w:sdtContent>
      </w:sdt>
      <w:r w:rsidRPr="00976717">
        <w:rPr>
          <w:rFonts w:ascii="Arial" w:eastAsia="Arial" w:hAnsi="Arial" w:cs="Arial"/>
          <w:color w:val="404040" w:themeColor="text1" w:themeTint="BF"/>
          <w:lang w:val="en-US" w:eastAsia="en-US" w:bidi="en-US"/>
        </w:rPr>
        <w:t>, for the purposes of the Certification Process of the Small Producers’ Symbol.</w:t>
      </w:r>
    </w:p>
    <w:p w14:paraId="14311D3C" w14:textId="77777777" w:rsidR="00EB0E7E" w:rsidRDefault="00EB0E7E" w:rsidP="00976717">
      <w:pPr>
        <w:spacing w:before="120"/>
        <w:jc w:val="both"/>
        <w:rPr>
          <w:rFonts w:ascii="Arial" w:eastAsia="Arial" w:hAnsi="Arial" w:cs="Arial"/>
          <w:color w:val="404040" w:themeColor="text1" w:themeTint="BF"/>
          <w:lang w:val="en-US" w:eastAsia="en-US" w:bidi="en-US"/>
        </w:rPr>
      </w:pPr>
    </w:p>
    <w:p w14:paraId="6AE99915" w14:textId="77777777" w:rsidR="00EB0E7E" w:rsidRDefault="00EB0E7E" w:rsidP="00976717">
      <w:pPr>
        <w:spacing w:before="120"/>
        <w:jc w:val="both"/>
        <w:rPr>
          <w:rFonts w:ascii="Arial" w:eastAsia="Arial" w:hAnsi="Arial" w:cs="Arial"/>
          <w:color w:val="404040" w:themeColor="text1" w:themeTint="BF"/>
          <w:lang w:val="en-US" w:eastAsia="en-US" w:bidi="en-US"/>
        </w:rPr>
      </w:pPr>
    </w:p>
    <w:p w14:paraId="2044647E" w14:textId="3B3B3EEB" w:rsidR="00976717" w:rsidRPr="00976717" w:rsidRDefault="00976717" w:rsidP="00976717">
      <w:pPr>
        <w:spacing w:before="120"/>
        <w:jc w:val="both"/>
        <w:rPr>
          <w:rFonts w:ascii="Arial" w:eastAsia="Arial" w:hAnsi="Arial" w:cs="Arial"/>
          <w:color w:val="404040" w:themeColor="text1" w:themeTint="BF"/>
          <w:lang w:val="en-US" w:eastAsia="en-US" w:bidi="en-US"/>
        </w:rPr>
      </w:pPr>
      <w:r w:rsidRPr="00976717">
        <w:rPr>
          <w:rFonts w:ascii="Arial" w:eastAsia="Arial" w:hAnsi="Arial" w:cs="Arial"/>
          <w:color w:val="404040" w:themeColor="text1" w:themeTint="BF"/>
          <w:lang w:val="en-US" w:eastAsia="en-US" w:bidi="en-US"/>
        </w:rPr>
        <w:t>SINCERELY,</w:t>
      </w:r>
    </w:p>
    <w:p w14:paraId="7AD0092A" w14:textId="77777777" w:rsidR="00976717" w:rsidRPr="00976717" w:rsidRDefault="00976717" w:rsidP="00976717">
      <w:pPr>
        <w:spacing w:before="120"/>
        <w:jc w:val="both"/>
        <w:rPr>
          <w:rFonts w:ascii="Arial" w:eastAsia="Arial" w:hAnsi="Arial" w:cs="Arial"/>
          <w:color w:val="404040" w:themeColor="text1" w:themeTint="BF"/>
          <w:lang w:val="en-US" w:eastAsia="en-US" w:bidi="en-US"/>
        </w:rPr>
      </w:pPr>
    </w:p>
    <w:sdt>
      <w:sdtPr>
        <w:rPr>
          <w:rFonts w:ascii="Arial" w:eastAsia="Arial" w:hAnsi="Arial" w:cs="Arial"/>
          <w:i/>
          <w:iCs/>
          <w:color w:val="4F81BD" w:themeColor="accent1"/>
          <w:lang w:val="en-US" w:eastAsia="en-US" w:bidi="en-US"/>
        </w:rPr>
        <w:id w:val="-455487823"/>
        <w:placeholder>
          <w:docPart w:val="DefaultPlaceholder_-1854013440"/>
        </w:placeholder>
      </w:sdtPr>
      <w:sdtEndPr/>
      <w:sdtContent>
        <w:p w14:paraId="19FC96D5" w14:textId="463ECDE3" w:rsidR="00976717" w:rsidRPr="00EB0E7E" w:rsidRDefault="00976717" w:rsidP="00976717">
          <w:pPr>
            <w:spacing w:before="120"/>
            <w:jc w:val="both"/>
            <w:rPr>
              <w:rFonts w:ascii="Arial" w:eastAsia="Arial" w:hAnsi="Arial" w:cs="Arial"/>
              <w:i/>
              <w:iCs/>
              <w:color w:val="4F81BD" w:themeColor="accent1"/>
              <w:lang w:val="en-US" w:eastAsia="en-US" w:bidi="en-US"/>
            </w:rPr>
          </w:pPr>
          <w:r w:rsidRPr="00EB0E7E">
            <w:rPr>
              <w:rFonts w:ascii="Arial" w:eastAsia="Arial" w:hAnsi="Arial" w:cs="Arial"/>
              <w:i/>
              <w:iCs/>
              <w:color w:val="4F81BD" w:themeColor="accent1"/>
              <w:lang w:val="en-US" w:eastAsia="en-US" w:bidi="en-US"/>
            </w:rPr>
            <w:t>Signature</w:t>
          </w:r>
        </w:p>
      </w:sdtContent>
    </w:sdt>
    <w:sdt>
      <w:sdtPr>
        <w:rPr>
          <w:rFonts w:ascii="Arial" w:eastAsia="Arial" w:hAnsi="Arial" w:cs="Arial"/>
          <w:color w:val="404040" w:themeColor="text1" w:themeTint="BF"/>
          <w:lang w:val="en-US" w:eastAsia="en-US" w:bidi="en-US"/>
        </w:rPr>
        <w:id w:val="627209456"/>
        <w:showingPlcHdr/>
        <w:picture/>
      </w:sdtPr>
      <w:sdtEndPr/>
      <w:sdtContent>
        <w:p w14:paraId="0A9AEDE7" w14:textId="7D78FCC0" w:rsidR="00EB0E7E" w:rsidRPr="00976717" w:rsidRDefault="00EB0E7E" w:rsidP="00976717">
          <w:pPr>
            <w:spacing w:before="120"/>
            <w:jc w:val="both"/>
            <w:rPr>
              <w:rFonts w:ascii="Arial" w:eastAsia="Arial" w:hAnsi="Arial" w:cs="Arial"/>
              <w:color w:val="404040" w:themeColor="text1" w:themeTint="BF"/>
              <w:lang w:val="en-US" w:eastAsia="en-US" w:bidi="en-US"/>
            </w:rPr>
          </w:pPr>
          <w:r>
            <w:rPr>
              <w:rFonts w:ascii="Arial" w:eastAsia="Arial" w:hAnsi="Arial" w:cs="Arial"/>
              <w:noProof/>
              <w:color w:val="404040" w:themeColor="text1" w:themeTint="BF"/>
              <w:lang w:val="en-US" w:eastAsia="en-US" w:bidi="en-US"/>
            </w:rPr>
            <w:drawing>
              <wp:inline distT="0" distB="0" distL="0" distR="0" wp14:anchorId="42B77924" wp14:editId="0C835B4E">
                <wp:extent cx="1771650" cy="17716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sdtContent>
    </w:sdt>
    <w:sdt>
      <w:sdtPr>
        <w:rPr>
          <w:rFonts w:ascii="Arial" w:eastAsia="Arial" w:hAnsi="Arial" w:cs="Arial"/>
          <w:i/>
          <w:iCs/>
          <w:color w:val="4F81BD" w:themeColor="accent1"/>
          <w:lang w:val="en-US" w:eastAsia="en-US" w:bidi="en-US"/>
        </w:rPr>
        <w:id w:val="-1080369660"/>
        <w:placeholder>
          <w:docPart w:val="DefaultPlaceholder_-1854013440"/>
        </w:placeholder>
      </w:sdtPr>
      <w:sdtEndPr/>
      <w:sdtContent>
        <w:p w14:paraId="0A33258D" w14:textId="4381A617" w:rsidR="00976717" w:rsidRDefault="00976717" w:rsidP="00976717">
          <w:pPr>
            <w:spacing w:after="0"/>
            <w:jc w:val="both"/>
            <w:rPr>
              <w:rFonts w:ascii="Arial" w:eastAsia="Arial" w:hAnsi="Arial" w:cs="Arial"/>
              <w:i/>
              <w:iCs/>
              <w:color w:val="4F81BD" w:themeColor="accent1"/>
              <w:lang w:val="en-US" w:eastAsia="en-US" w:bidi="en-US"/>
            </w:rPr>
          </w:pPr>
          <w:r w:rsidRPr="00EB0E7E">
            <w:rPr>
              <w:rFonts w:ascii="Arial" w:eastAsia="Arial" w:hAnsi="Arial" w:cs="Arial"/>
              <w:i/>
              <w:iCs/>
              <w:color w:val="4F81BD" w:themeColor="accent1"/>
              <w:lang w:val="en-US" w:eastAsia="en-US" w:bidi="en-US"/>
            </w:rPr>
            <w:t>Name, Position</w:t>
          </w:r>
        </w:p>
      </w:sdtContent>
    </w:sdt>
    <w:p w14:paraId="36C13D65" w14:textId="77777777" w:rsidR="00EB0E7E" w:rsidRPr="00EB0E7E" w:rsidRDefault="00EB0E7E" w:rsidP="00976717">
      <w:pPr>
        <w:spacing w:after="0"/>
        <w:jc w:val="both"/>
        <w:rPr>
          <w:rFonts w:ascii="Arial" w:eastAsia="Arial" w:hAnsi="Arial" w:cs="Arial"/>
          <w:i/>
          <w:iCs/>
          <w:color w:val="4F81BD" w:themeColor="accent1"/>
          <w:lang w:val="en-US" w:eastAsia="en-US" w:bidi="en-US"/>
        </w:rPr>
      </w:pPr>
    </w:p>
    <w:sdt>
      <w:sdtPr>
        <w:rPr>
          <w:rFonts w:ascii="Arial" w:eastAsia="Arial" w:hAnsi="Arial" w:cs="Arial"/>
          <w:i/>
          <w:iCs/>
          <w:color w:val="4F81BD" w:themeColor="accent1"/>
          <w:lang w:val="en-US" w:eastAsia="en-US" w:bidi="en-US"/>
        </w:rPr>
        <w:id w:val="-1652512228"/>
        <w:placeholder>
          <w:docPart w:val="DefaultPlaceholder_-1854013440"/>
        </w:placeholder>
      </w:sdtPr>
      <w:sdtEndPr/>
      <w:sdtContent>
        <w:p w14:paraId="7D096732" w14:textId="5A88D784" w:rsidR="000D62B5" w:rsidRPr="00EB0E7E" w:rsidRDefault="00976717" w:rsidP="00EB0E7E">
          <w:pPr>
            <w:spacing w:after="0"/>
            <w:jc w:val="both"/>
            <w:rPr>
              <w:rFonts w:ascii="Arial" w:eastAsia="Arial" w:hAnsi="Arial" w:cs="Arial"/>
              <w:i/>
              <w:iCs/>
              <w:color w:val="4F81BD" w:themeColor="accent1"/>
              <w:lang w:val="en-US" w:eastAsia="en-US" w:bidi="en-US"/>
            </w:rPr>
          </w:pPr>
          <w:r w:rsidRPr="00EB0E7E">
            <w:rPr>
              <w:rFonts w:ascii="Arial" w:eastAsia="Arial" w:hAnsi="Arial" w:cs="Arial"/>
              <w:i/>
              <w:iCs/>
              <w:color w:val="4F81BD" w:themeColor="accent1"/>
              <w:lang w:val="en-US" w:eastAsia="en-US" w:bidi="en-US"/>
            </w:rPr>
            <w:t>Name of Small Producers’ Organization</w:t>
          </w:r>
        </w:p>
      </w:sdtContent>
    </w:sdt>
    <w:sectPr w:rsidR="000D62B5" w:rsidRPr="00EB0E7E" w:rsidSect="006F1E93">
      <w:headerReference w:type="default" r:id="rId9"/>
      <w:footerReference w:type="default" r:id="rId10"/>
      <w:pgSz w:w="12240" w:h="15840"/>
      <w:pgMar w:top="1814" w:right="1021" w:bottom="1440" w:left="1021" w:header="425"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28F7" w14:textId="77777777" w:rsidR="00094A49" w:rsidRDefault="00094A49">
      <w:pPr>
        <w:spacing w:after="0"/>
      </w:pPr>
      <w:r>
        <w:separator/>
      </w:r>
    </w:p>
  </w:endnote>
  <w:endnote w:type="continuationSeparator" w:id="0">
    <w:p w14:paraId="6AC67897" w14:textId="77777777" w:rsidR="00094A49" w:rsidRDefault="00094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EC0B" w14:textId="26D5797E" w:rsidR="000179F0" w:rsidRDefault="000179F0" w:rsidP="0043584B">
    <w:pPr>
      <w:spacing w:after="0"/>
      <w:ind w:hanging="312"/>
      <w:jc w:val="right"/>
      <w:rPr>
        <w:rFonts w:ascii="Arial" w:hAnsi="Arial" w:cs="Arial"/>
        <w:color w:val="595959" w:themeColor="text1" w:themeTint="A6"/>
        <w:sz w:val="18"/>
        <w:szCs w:val="18"/>
      </w:rPr>
    </w:pPr>
    <w:r>
      <w:rPr>
        <w:noProof/>
        <w:lang w:val="es-ES"/>
      </w:rPr>
      <w:drawing>
        <wp:anchor distT="0" distB="0" distL="114300" distR="114300" simplePos="0" relativeHeight="251663360" behindDoc="0" locked="0" layoutInCell="1" allowOverlap="1" wp14:anchorId="4B8E978A" wp14:editId="25AE608C">
          <wp:simplePos x="0" y="0"/>
          <wp:positionH relativeFrom="margin">
            <wp:posOffset>-635</wp:posOffset>
          </wp:positionH>
          <wp:positionV relativeFrom="paragraph">
            <wp:posOffset>109855</wp:posOffset>
          </wp:positionV>
          <wp:extent cx="1288648" cy="259080"/>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4564" cy="264290"/>
                  </a:xfrm>
                  <a:prstGeom prst="rect">
                    <a:avLst/>
                  </a:prstGeom>
                </pic:spPr>
              </pic:pic>
            </a:graphicData>
          </a:graphic>
          <wp14:sizeRelH relativeFrom="margin">
            <wp14:pctWidth>0</wp14:pctWidth>
          </wp14:sizeRelH>
          <wp14:sizeRelV relativeFrom="margin">
            <wp14:pctHeight>0</wp14:pctHeight>
          </wp14:sizeRelV>
        </wp:anchor>
      </w:drawing>
    </w:r>
  </w:p>
  <w:p w14:paraId="75B36C04" w14:textId="34C3DBF1" w:rsidR="000179F0" w:rsidRPr="00EB0E7E" w:rsidRDefault="00192E24" w:rsidP="00AA3FC3">
    <w:pPr>
      <w:ind w:hanging="312"/>
      <w:jc w:val="right"/>
      <w:rPr>
        <w:rFonts w:ascii="Arial" w:hAnsi="Arial" w:cs="Arial"/>
        <w:color w:val="595959" w:themeColor="text1" w:themeTint="A6"/>
        <w:sz w:val="18"/>
        <w:szCs w:val="18"/>
        <w:lang w:val="fr-FR"/>
      </w:rPr>
    </w:pPr>
    <w:r>
      <w:rPr>
        <w:rFonts w:ascii="Arial" w:hAnsi="Arial" w:cs="Arial"/>
        <w:color w:val="595959" w:themeColor="text1" w:themeTint="A6"/>
        <w:sz w:val="18"/>
        <w:szCs w:val="18"/>
        <w:lang w:val="fr-FR"/>
      </w:rPr>
      <w:fldChar w:fldCharType="begin"/>
    </w:r>
    <w:r>
      <w:rPr>
        <w:rFonts w:ascii="Arial" w:hAnsi="Arial" w:cs="Arial"/>
        <w:color w:val="595959" w:themeColor="text1" w:themeTint="A6"/>
        <w:sz w:val="18"/>
        <w:szCs w:val="18"/>
        <w:lang w:val="fr-FR"/>
      </w:rPr>
      <w:instrText xml:space="preserve"> FILENAME \* MERGEFORMAT </w:instrText>
    </w:r>
    <w:r>
      <w:rPr>
        <w:rFonts w:ascii="Arial" w:hAnsi="Arial" w:cs="Arial"/>
        <w:color w:val="595959" w:themeColor="text1" w:themeTint="A6"/>
        <w:sz w:val="18"/>
        <w:szCs w:val="18"/>
        <w:lang w:val="fr-FR"/>
      </w:rPr>
      <w:fldChar w:fldCharType="separate"/>
    </w:r>
    <w:r>
      <w:rPr>
        <w:rFonts w:ascii="Arial" w:hAnsi="Arial" w:cs="Arial"/>
        <w:noProof/>
        <w:color w:val="595959" w:themeColor="text1" w:themeTint="A6"/>
        <w:sz w:val="18"/>
        <w:szCs w:val="18"/>
        <w:lang w:val="fr-FR"/>
      </w:rPr>
      <w:t>3.18 EN_Format_Affidavit_Compliance_SPO_V4.0_2021-02-12</w:t>
    </w:r>
    <w:r>
      <w:rPr>
        <w:rFonts w:ascii="Arial" w:hAnsi="Arial" w:cs="Arial"/>
        <w:color w:val="595959" w:themeColor="text1" w:themeTint="A6"/>
        <w:sz w:val="18"/>
        <w:szCs w:val="18"/>
        <w:lang w:val="fr-FR"/>
      </w:rPr>
      <w:fldChar w:fldCharType="end"/>
    </w:r>
  </w:p>
  <w:p w14:paraId="7F43DE45" w14:textId="20C32DE7" w:rsidR="000179F0" w:rsidRPr="004D67B4" w:rsidRDefault="000179F0" w:rsidP="004D67B4">
    <w:pPr>
      <w:ind w:hanging="312"/>
      <w:jc w:val="right"/>
      <w:rPr>
        <w:rFonts w:ascii="Arial" w:hAnsi="Arial" w:cs="Arial"/>
        <w:b/>
        <w:bCs/>
        <w:color w:val="595959" w:themeColor="text1" w:themeTint="A6"/>
        <w:sz w:val="18"/>
        <w:szCs w:val="18"/>
      </w:rPr>
    </w:pP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PAGE   \* MERGEFORMAT </w:instrText>
    </w:r>
    <w:r w:rsidRPr="004D67B4">
      <w:rPr>
        <w:rFonts w:ascii="Arial" w:hAnsi="Arial" w:cs="Arial"/>
        <w:b/>
        <w:bCs/>
        <w:color w:val="595959" w:themeColor="text1" w:themeTint="A6"/>
        <w:sz w:val="18"/>
        <w:szCs w:val="18"/>
      </w:rPr>
      <w:fldChar w:fldCharType="separate"/>
    </w:r>
    <w:r w:rsidR="00FC11C3">
      <w:rPr>
        <w:rFonts w:ascii="Arial" w:hAnsi="Arial" w:cs="Arial"/>
        <w:b/>
        <w:bCs/>
        <w:noProof/>
        <w:color w:val="595959" w:themeColor="text1" w:themeTint="A6"/>
        <w:sz w:val="18"/>
        <w:szCs w:val="18"/>
      </w:rPr>
      <w:t>2</w:t>
    </w:r>
    <w:r w:rsidRPr="004D67B4">
      <w:rPr>
        <w:rFonts w:ascii="Arial" w:hAnsi="Arial" w:cs="Arial"/>
        <w:b/>
        <w:bCs/>
        <w:color w:val="595959" w:themeColor="text1" w:themeTint="A6"/>
        <w:sz w:val="18"/>
        <w:szCs w:val="18"/>
      </w:rPr>
      <w:fldChar w:fldCharType="end"/>
    </w:r>
    <w:r w:rsidRPr="004D67B4">
      <w:rPr>
        <w:rFonts w:ascii="Arial" w:hAnsi="Arial" w:cs="Arial"/>
        <w:b/>
        <w:bCs/>
        <w:color w:val="595959" w:themeColor="text1" w:themeTint="A6"/>
        <w:sz w:val="18"/>
        <w:szCs w:val="18"/>
      </w:rPr>
      <w:t>/</w:t>
    </w: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NUMPAGES   \* MERGEFORMAT </w:instrText>
    </w:r>
    <w:r w:rsidRPr="004D67B4">
      <w:rPr>
        <w:rFonts w:ascii="Arial" w:hAnsi="Arial" w:cs="Arial"/>
        <w:b/>
        <w:bCs/>
        <w:color w:val="595959" w:themeColor="text1" w:themeTint="A6"/>
        <w:sz w:val="18"/>
        <w:szCs w:val="18"/>
      </w:rPr>
      <w:fldChar w:fldCharType="separate"/>
    </w:r>
    <w:r w:rsidR="00FC11C3">
      <w:rPr>
        <w:rFonts w:ascii="Arial" w:hAnsi="Arial" w:cs="Arial"/>
        <w:b/>
        <w:bCs/>
        <w:noProof/>
        <w:color w:val="595959" w:themeColor="text1" w:themeTint="A6"/>
        <w:sz w:val="18"/>
        <w:szCs w:val="18"/>
      </w:rPr>
      <w:t>2</w:t>
    </w:r>
    <w:r w:rsidRPr="004D67B4">
      <w:rPr>
        <w:rFonts w:ascii="Arial" w:hAnsi="Arial" w:cs="Arial"/>
        <w:b/>
        <w:bCs/>
        <w:color w:val="595959" w:themeColor="text1" w:themeTint="A6"/>
        <w:sz w:val="18"/>
        <w:szCs w:val="18"/>
      </w:rPr>
      <w:fldChar w:fldCharType="end"/>
    </w:r>
  </w:p>
  <w:p w14:paraId="23C65803" w14:textId="77777777" w:rsidR="000179F0" w:rsidRDefault="00017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EB851" w14:textId="77777777" w:rsidR="00094A49" w:rsidRDefault="00094A49">
      <w:pPr>
        <w:spacing w:after="0"/>
      </w:pPr>
      <w:r>
        <w:separator/>
      </w:r>
    </w:p>
  </w:footnote>
  <w:footnote w:type="continuationSeparator" w:id="0">
    <w:p w14:paraId="27364322" w14:textId="77777777" w:rsidR="00094A49" w:rsidRDefault="00094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26DD" w14:textId="184208D4" w:rsidR="00976717" w:rsidRPr="00217AD5" w:rsidRDefault="00B5544B" w:rsidP="00157962">
    <w:pPr>
      <w:pStyle w:val="Encabezado"/>
      <w:jc w:val="right"/>
      <w:rPr>
        <w:rFonts w:ascii="Arial" w:hAnsi="Arial" w:cs="Arial"/>
        <w:b/>
        <w:color w:val="595959" w:themeColor="text1" w:themeTint="A6"/>
        <w:spacing w:val="20"/>
        <w:sz w:val="22"/>
        <w:szCs w:val="22"/>
        <w:lang w:val="en-US"/>
      </w:rPr>
    </w:pPr>
    <w:r>
      <w:rPr>
        <w:rFonts w:ascii="Arial" w:hAnsi="Arial" w:cs="Arial"/>
        <w:b/>
        <w:noProof/>
        <w:color w:val="595959" w:themeColor="text1" w:themeTint="A6"/>
        <w:spacing w:val="20"/>
        <w:sz w:val="22"/>
        <w:szCs w:val="22"/>
      </w:rPr>
      <w:drawing>
        <wp:anchor distT="0" distB="0" distL="114300" distR="114300" simplePos="0" relativeHeight="251664384" behindDoc="0" locked="0" layoutInCell="1" allowOverlap="1" wp14:anchorId="74350083" wp14:editId="5491C30C">
          <wp:simplePos x="0" y="0"/>
          <wp:positionH relativeFrom="margin">
            <wp:align>left</wp:align>
          </wp:positionH>
          <wp:positionV relativeFrom="paragraph">
            <wp:posOffset>82550</wp:posOffset>
          </wp:positionV>
          <wp:extent cx="1447800" cy="7194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9455"/>
                  </a:xfrm>
                  <a:prstGeom prst="rect">
                    <a:avLst/>
                  </a:prstGeom>
                  <a:noFill/>
                  <a:ln>
                    <a:noFill/>
                  </a:ln>
                </pic:spPr>
              </pic:pic>
            </a:graphicData>
          </a:graphic>
        </wp:anchor>
      </w:drawing>
    </w:r>
    <w:r w:rsidR="00976717" w:rsidRPr="00217AD5">
      <w:rPr>
        <w:rFonts w:ascii="Arial" w:hAnsi="Arial" w:cs="Arial"/>
        <w:b/>
        <w:color w:val="595959" w:themeColor="text1" w:themeTint="A6"/>
        <w:spacing w:val="20"/>
        <w:sz w:val="22"/>
        <w:szCs w:val="22"/>
        <w:lang w:val="en-US"/>
      </w:rPr>
      <w:t>Format -</w:t>
    </w:r>
    <w:r w:rsidR="00157962">
      <w:rPr>
        <w:rFonts w:ascii="Arial" w:hAnsi="Arial" w:cs="Arial"/>
        <w:b/>
        <w:color w:val="595959" w:themeColor="text1" w:themeTint="A6"/>
        <w:spacing w:val="20"/>
        <w:sz w:val="22"/>
        <w:szCs w:val="22"/>
        <w:lang w:val="en-US"/>
      </w:rPr>
      <w:t>Affidavit</w:t>
    </w:r>
    <w:r w:rsidR="00976717" w:rsidRPr="00217AD5">
      <w:rPr>
        <w:rFonts w:ascii="Arial" w:hAnsi="Arial" w:cs="Arial"/>
        <w:b/>
        <w:color w:val="595959" w:themeColor="text1" w:themeTint="A6"/>
        <w:spacing w:val="20"/>
        <w:sz w:val="22"/>
        <w:szCs w:val="22"/>
        <w:lang w:val="en-US"/>
      </w:rPr>
      <w:t xml:space="preserve"> of Compliance</w:t>
    </w:r>
    <w:r w:rsidR="00157962">
      <w:rPr>
        <w:rFonts w:ascii="Arial" w:hAnsi="Arial" w:cs="Arial"/>
        <w:b/>
        <w:color w:val="595959" w:themeColor="text1" w:themeTint="A6"/>
        <w:spacing w:val="20"/>
        <w:sz w:val="22"/>
        <w:szCs w:val="22"/>
        <w:lang w:val="en-US"/>
      </w:rPr>
      <w:t xml:space="preserve"> </w:t>
    </w:r>
    <w:r w:rsidR="00976717" w:rsidRPr="00217AD5">
      <w:rPr>
        <w:rFonts w:ascii="Arial" w:hAnsi="Arial" w:cs="Arial"/>
        <w:b/>
        <w:color w:val="595959" w:themeColor="text1" w:themeTint="A6"/>
        <w:spacing w:val="20"/>
        <w:sz w:val="22"/>
        <w:szCs w:val="22"/>
        <w:lang w:val="en-US"/>
      </w:rPr>
      <w:t>General Standard of the Small Producers’ Symbol</w:t>
    </w:r>
    <w:r w:rsidR="00157962">
      <w:rPr>
        <w:rFonts w:ascii="Arial" w:hAnsi="Arial" w:cs="Arial"/>
        <w:b/>
        <w:color w:val="595959" w:themeColor="text1" w:themeTint="A6"/>
        <w:spacing w:val="20"/>
        <w:sz w:val="22"/>
        <w:szCs w:val="22"/>
        <w:lang w:val="en-US"/>
      </w:rPr>
      <w:t xml:space="preserve"> </w:t>
    </w:r>
    <w:r w:rsidR="00976717" w:rsidRPr="00217AD5">
      <w:rPr>
        <w:rFonts w:ascii="Arial" w:hAnsi="Arial" w:cs="Arial"/>
        <w:b/>
        <w:color w:val="595959" w:themeColor="text1" w:themeTint="A6"/>
        <w:spacing w:val="20"/>
        <w:sz w:val="22"/>
        <w:szCs w:val="22"/>
        <w:lang w:val="en-US"/>
      </w:rPr>
      <w:t>Criteria 4.1 and 4. 2</w:t>
    </w:r>
  </w:p>
  <w:p w14:paraId="0B5F2767" w14:textId="6BA323CF" w:rsidR="000179F0" w:rsidRPr="00217AD5" w:rsidRDefault="00976717" w:rsidP="00976717">
    <w:pPr>
      <w:pStyle w:val="Encabezado"/>
      <w:spacing w:before="120" w:after="120"/>
      <w:jc w:val="right"/>
      <w:rPr>
        <w:rFonts w:ascii="Arial" w:hAnsi="Arial" w:cs="Arial"/>
        <w:b/>
        <w:color w:val="595959" w:themeColor="text1" w:themeTint="A6"/>
        <w:sz w:val="22"/>
        <w:szCs w:val="22"/>
        <w:lang w:val="en-US"/>
      </w:rPr>
    </w:pPr>
    <w:r w:rsidRPr="00217AD5">
      <w:rPr>
        <w:rFonts w:ascii="Arial" w:hAnsi="Arial" w:cs="Arial"/>
        <w:b/>
        <w:color w:val="595959" w:themeColor="text1" w:themeTint="A6"/>
        <w:sz w:val="22"/>
        <w:szCs w:val="22"/>
        <w:lang w:val="en-US"/>
      </w:rPr>
      <w:t>Small Producers’ Organizations</w:t>
    </w:r>
  </w:p>
  <w:p w14:paraId="06355103" w14:textId="46718195" w:rsidR="000179F0" w:rsidRPr="00217AD5" w:rsidRDefault="000179F0" w:rsidP="001064E6">
    <w:pPr>
      <w:pStyle w:val="Encabezado"/>
      <w:ind w:left="0" w:firstLine="0"/>
      <w:jc w:val="right"/>
      <w:rPr>
        <w:rFonts w:asciiTheme="majorHAnsi" w:hAnsiTheme="majorHAnsi" w:cstheme="majorHAnsi"/>
        <w:b/>
        <w:color w:val="595959" w:themeColor="text1" w:themeTint="A6"/>
        <w:sz w:val="22"/>
        <w:szCs w:val="22"/>
        <w:lang w:val="en-US"/>
      </w:rPr>
    </w:pPr>
  </w:p>
  <w:p w14:paraId="45765A40" w14:textId="4C7A1F04" w:rsidR="000179F0" w:rsidRPr="00217AD5" w:rsidRDefault="000179F0" w:rsidP="001064E6">
    <w:pPr>
      <w:pStyle w:val="Encabezado"/>
      <w:tabs>
        <w:tab w:val="left" w:pos="6156"/>
        <w:tab w:val="right" w:pos="10205"/>
      </w:tabs>
      <w:ind w:left="0" w:firstLine="0"/>
      <w:jc w:val="right"/>
      <w:rPr>
        <w:rFonts w:asciiTheme="majorHAnsi" w:hAnsiTheme="majorHAnsi" w:cstheme="majorHAnsi"/>
        <w:color w:val="595959" w:themeColor="text1" w:themeTint="A6"/>
        <w:lang w:val="en-US"/>
      </w:rPr>
    </w:pPr>
    <w:r w:rsidRPr="00217AD5">
      <w:rPr>
        <w:rFonts w:asciiTheme="majorHAnsi" w:hAnsiTheme="majorHAnsi" w:cstheme="majorHAnsi"/>
        <w:color w:val="595959" w:themeColor="text1" w:themeTint="A6"/>
        <w:lang w:val="en-US"/>
      </w:rPr>
      <w:tab/>
    </w:r>
    <w:r w:rsidRPr="00217AD5">
      <w:rPr>
        <w:rFonts w:asciiTheme="majorHAnsi" w:hAnsiTheme="majorHAnsi" w:cstheme="majorHAnsi"/>
        <w:color w:val="595959" w:themeColor="text1" w:themeTint="A6"/>
        <w:lang w:val="en-US"/>
      </w:rPr>
      <w:tab/>
    </w:r>
    <w:r w:rsidRPr="00217AD5">
      <w:rPr>
        <w:rFonts w:asciiTheme="majorHAnsi" w:hAnsiTheme="majorHAnsi" w:cstheme="majorHAnsi"/>
        <w:color w:val="595959" w:themeColor="text1" w:themeTint="A6"/>
        <w:lang w:val="en-US"/>
      </w:rPr>
      <w:tab/>
      <w:t>Versi</w:t>
    </w:r>
    <w:r w:rsidR="00B5544B">
      <w:rPr>
        <w:rFonts w:asciiTheme="majorHAnsi" w:hAnsiTheme="majorHAnsi" w:cstheme="majorHAnsi"/>
        <w:color w:val="595959" w:themeColor="text1" w:themeTint="A6"/>
        <w:lang w:val="en-US"/>
      </w:rPr>
      <w:t xml:space="preserve">on </w:t>
    </w:r>
    <w:r w:rsidR="00EB0E7E">
      <w:rPr>
        <w:rFonts w:asciiTheme="majorHAnsi" w:hAnsiTheme="majorHAnsi" w:cstheme="majorHAnsi"/>
        <w:color w:val="595959" w:themeColor="text1" w:themeTint="A6"/>
        <w:lang w:val="en-US"/>
      </w:rPr>
      <w:t>4</w:t>
    </w:r>
    <w:r w:rsidR="00192E24">
      <w:rPr>
        <w:rFonts w:asciiTheme="majorHAnsi" w:hAnsiTheme="majorHAnsi" w:cstheme="majorHAnsi"/>
        <w:color w:val="595959" w:themeColor="text1" w:themeTint="A6"/>
        <w:lang w:val="en-US"/>
      </w:rPr>
      <w:t>.0</w:t>
    </w:r>
    <w:r w:rsidRPr="00217AD5">
      <w:rPr>
        <w:rFonts w:asciiTheme="majorHAnsi" w:hAnsiTheme="majorHAnsi" w:cstheme="majorHAnsi"/>
        <w:color w:val="595959" w:themeColor="text1" w:themeTint="A6"/>
        <w:lang w:val="en-US"/>
      </w:rPr>
      <w:t xml:space="preserve"> 202</w:t>
    </w:r>
    <w:r w:rsidR="00EB0E7E">
      <w:rPr>
        <w:rFonts w:asciiTheme="majorHAnsi" w:hAnsiTheme="majorHAnsi" w:cstheme="majorHAnsi"/>
        <w:color w:val="595959" w:themeColor="text1" w:themeTint="A6"/>
        <w:lang w:val="en-US"/>
      </w:rPr>
      <w:t>1</w:t>
    </w:r>
    <w:r w:rsidRPr="00217AD5">
      <w:rPr>
        <w:rFonts w:asciiTheme="majorHAnsi" w:hAnsiTheme="majorHAnsi" w:cstheme="majorHAnsi"/>
        <w:color w:val="595959" w:themeColor="text1" w:themeTint="A6"/>
        <w:lang w:val="en-US"/>
      </w:rPr>
      <w:t>-</w:t>
    </w:r>
    <w:r w:rsidR="00EB0E7E">
      <w:rPr>
        <w:rFonts w:asciiTheme="majorHAnsi" w:hAnsiTheme="majorHAnsi" w:cstheme="majorHAnsi"/>
        <w:color w:val="595959" w:themeColor="text1" w:themeTint="A6"/>
        <w:lang w:val="en-US"/>
      </w:rPr>
      <w:t>02</w:t>
    </w:r>
    <w:r w:rsidRPr="00217AD5">
      <w:rPr>
        <w:rFonts w:asciiTheme="majorHAnsi" w:hAnsiTheme="majorHAnsi" w:cstheme="majorHAnsi"/>
        <w:color w:val="595959" w:themeColor="text1" w:themeTint="A6"/>
        <w:lang w:val="en-US"/>
      </w:rPr>
      <w:t>-</w:t>
    </w:r>
    <w:r w:rsidR="00EB0E7E">
      <w:rPr>
        <w:rFonts w:asciiTheme="majorHAnsi" w:hAnsiTheme="majorHAnsi" w:cstheme="majorHAnsi"/>
        <w:color w:val="595959" w:themeColor="text1" w:themeTint="A6"/>
        <w:lang w:val="en-US"/>
      </w:rPr>
      <w:t>12</w:t>
    </w:r>
  </w:p>
  <w:p w14:paraId="478A9DA6" w14:textId="04B31565" w:rsidR="000179F0" w:rsidRPr="00217AD5" w:rsidRDefault="000179F0" w:rsidP="006C3C81">
    <w:pPr>
      <w:tabs>
        <w:tab w:val="left" w:pos="6680"/>
      </w:tabs>
      <w:spacing w:after="0"/>
      <w:ind w:left="357"/>
      <w:jc w:val="right"/>
      <w:rPr>
        <w:rFonts w:ascii="Arial" w:hAnsi="Arial" w:cs="Arial"/>
        <w:lang w:val="en-US"/>
      </w:rPr>
    </w:pPr>
    <w:r w:rsidRPr="00217AD5">
      <w:rPr>
        <w:rFonts w:ascii="Arial" w:hAnsi="Arial"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8C617F"/>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1C509F"/>
    <w:multiLevelType w:val="hybridMultilevel"/>
    <w:tmpl w:val="1D3AB72E"/>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40A392A">
      <w:start w:val="6"/>
      <w:numFmt w:val="bullet"/>
      <w:lvlText w:val="-"/>
      <w:lvlJc w:val="left"/>
      <w:pPr>
        <w:ind w:left="2880" w:hanging="360"/>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5A1C41"/>
    <w:multiLevelType w:val="multilevel"/>
    <w:tmpl w:val="47B09206"/>
    <w:lvl w:ilvl="0">
      <w:start w:val="1"/>
      <w:numFmt w:val="bullet"/>
      <w:lvlText w:val="▪"/>
      <w:lvlJc w:val="left"/>
      <w:pPr>
        <w:ind w:left="675" w:hanging="360"/>
      </w:pPr>
      <w:rPr>
        <w:rFonts w:ascii="Noto Sans Symbols" w:eastAsia="Noto Sans Symbols" w:hAnsi="Noto Sans Symbols" w:cs="Noto Sans Symbols"/>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10" w15:restartNumberingAfterBreak="0">
    <w:nsid w:val="0E865562"/>
    <w:multiLevelType w:val="hybridMultilevel"/>
    <w:tmpl w:val="CDB65F8A"/>
    <w:lvl w:ilvl="0" w:tplc="C04EE2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D7911"/>
    <w:multiLevelType w:val="hybridMultilevel"/>
    <w:tmpl w:val="B5DC368A"/>
    <w:lvl w:ilvl="0" w:tplc="080A0019">
      <w:start w:val="1"/>
      <w:numFmt w:val="lowerLetter"/>
      <w:lvlText w:val="%1."/>
      <w:lvlJc w:val="left"/>
      <w:pPr>
        <w:ind w:left="675" w:hanging="360"/>
      </w:p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12" w15:restartNumberingAfterBreak="0">
    <w:nsid w:val="10D732CC"/>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D1569F"/>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7E5DCF"/>
    <w:multiLevelType w:val="multilevel"/>
    <w:tmpl w:val="08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5" w15:restartNumberingAfterBreak="0">
    <w:nsid w:val="18FB0210"/>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9F5770"/>
    <w:multiLevelType w:val="multilevel"/>
    <w:tmpl w:val="33407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214D5A"/>
    <w:multiLevelType w:val="multilevel"/>
    <w:tmpl w:val="6C069DC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8865C52"/>
    <w:multiLevelType w:val="multilevel"/>
    <w:tmpl w:val="07CA4CE2"/>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F56841"/>
    <w:multiLevelType w:val="hybridMultilevel"/>
    <w:tmpl w:val="27F42D8C"/>
    <w:lvl w:ilvl="0" w:tplc="A4F841C2">
      <w:start w:val="1"/>
      <w:numFmt w:val="decimal"/>
      <w:pStyle w:val="Estilo1"/>
      <w:lvlText w:val="%1."/>
      <w:lvlJc w:val="left"/>
      <w:pPr>
        <w:ind w:left="720" w:hanging="360"/>
      </w:pPr>
      <w:rPr>
        <w:rFonts w:hint="default"/>
        <w:b/>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37858"/>
    <w:multiLevelType w:val="hybridMultilevel"/>
    <w:tmpl w:val="AA52A66A"/>
    <w:lvl w:ilvl="0" w:tplc="3C889738">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B576C7"/>
    <w:multiLevelType w:val="hybridMultilevel"/>
    <w:tmpl w:val="0B3EB0FA"/>
    <w:lvl w:ilvl="0" w:tplc="080A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448E0"/>
    <w:multiLevelType w:val="hybridMultilevel"/>
    <w:tmpl w:val="72B888DE"/>
    <w:lvl w:ilvl="0" w:tplc="79760404">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425F7BFB"/>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C009FD"/>
    <w:multiLevelType w:val="multilevel"/>
    <w:tmpl w:val="B53428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8C86F27"/>
    <w:multiLevelType w:val="multilevel"/>
    <w:tmpl w:val="EA80DA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0530DD"/>
    <w:multiLevelType w:val="hybridMultilevel"/>
    <w:tmpl w:val="7294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51CD2"/>
    <w:multiLevelType w:val="hybridMultilevel"/>
    <w:tmpl w:val="B1A82EC6"/>
    <w:lvl w:ilvl="0" w:tplc="080A000F">
      <w:start w:val="1"/>
      <w:numFmt w:val="decimal"/>
      <w:lvlText w:val="%1."/>
      <w:lvlJc w:val="left"/>
      <w:pPr>
        <w:ind w:left="675" w:hanging="360"/>
      </w:p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28" w15:restartNumberingAfterBreak="0">
    <w:nsid w:val="548E21BD"/>
    <w:multiLevelType w:val="hybridMultilevel"/>
    <w:tmpl w:val="EF10EDEA"/>
    <w:lvl w:ilvl="0" w:tplc="F026755E">
      <w:start w:val="1"/>
      <w:numFmt w:val="decimal"/>
      <w:lvlText w:val="%1."/>
      <w:lvlJc w:val="left"/>
      <w:pPr>
        <w:ind w:left="360" w:hanging="360"/>
      </w:pPr>
      <w:rPr>
        <w:rFonts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5A71C94"/>
    <w:multiLevelType w:val="hybridMultilevel"/>
    <w:tmpl w:val="32C28FA4"/>
    <w:lvl w:ilvl="0" w:tplc="080A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ED5B97"/>
    <w:multiLevelType w:val="hybridMultilevel"/>
    <w:tmpl w:val="D0CA943C"/>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231B1C"/>
    <w:multiLevelType w:val="hybridMultilevel"/>
    <w:tmpl w:val="5AEEEBEA"/>
    <w:lvl w:ilvl="0" w:tplc="0C06BA64">
      <w:start w:val="1"/>
      <w:numFmt w:val="decimal"/>
      <w:lvlText w:val="%1."/>
      <w:lvlJc w:val="left"/>
      <w:pPr>
        <w:ind w:left="720" w:hanging="360"/>
      </w:pPr>
      <w:rPr>
        <w:rFonts w:hint="default"/>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2569FC"/>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C01F0F"/>
    <w:multiLevelType w:val="multilevel"/>
    <w:tmpl w:val="7CB0F1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0F142FB"/>
    <w:multiLevelType w:val="hybridMultilevel"/>
    <w:tmpl w:val="03D2F002"/>
    <w:lvl w:ilvl="0" w:tplc="9DB003A4">
      <w:start w:val="1"/>
      <w:numFmt w:val="lowerLetter"/>
      <w:lvlText w:val="%1."/>
      <w:lvlJc w:val="left"/>
      <w:pPr>
        <w:ind w:left="570" w:hanging="615"/>
      </w:pPr>
      <w:rPr>
        <w:rFonts w:hint="default"/>
      </w:rPr>
    </w:lvl>
    <w:lvl w:ilvl="1" w:tplc="080A0019" w:tentative="1">
      <w:start w:val="1"/>
      <w:numFmt w:val="lowerLetter"/>
      <w:lvlText w:val="%2."/>
      <w:lvlJc w:val="left"/>
      <w:pPr>
        <w:ind w:left="1035" w:hanging="360"/>
      </w:pPr>
    </w:lvl>
    <w:lvl w:ilvl="2" w:tplc="080A001B" w:tentative="1">
      <w:start w:val="1"/>
      <w:numFmt w:val="lowerRoman"/>
      <w:lvlText w:val="%3."/>
      <w:lvlJc w:val="right"/>
      <w:pPr>
        <w:ind w:left="1755" w:hanging="180"/>
      </w:pPr>
    </w:lvl>
    <w:lvl w:ilvl="3" w:tplc="080A000F" w:tentative="1">
      <w:start w:val="1"/>
      <w:numFmt w:val="decimal"/>
      <w:lvlText w:val="%4."/>
      <w:lvlJc w:val="left"/>
      <w:pPr>
        <w:ind w:left="2475" w:hanging="360"/>
      </w:pPr>
    </w:lvl>
    <w:lvl w:ilvl="4" w:tplc="080A0019" w:tentative="1">
      <w:start w:val="1"/>
      <w:numFmt w:val="lowerLetter"/>
      <w:lvlText w:val="%5."/>
      <w:lvlJc w:val="left"/>
      <w:pPr>
        <w:ind w:left="3195" w:hanging="360"/>
      </w:pPr>
    </w:lvl>
    <w:lvl w:ilvl="5" w:tplc="080A001B" w:tentative="1">
      <w:start w:val="1"/>
      <w:numFmt w:val="lowerRoman"/>
      <w:lvlText w:val="%6."/>
      <w:lvlJc w:val="right"/>
      <w:pPr>
        <w:ind w:left="3915" w:hanging="180"/>
      </w:pPr>
    </w:lvl>
    <w:lvl w:ilvl="6" w:tplc="080A000F" w:tentative="1">
      <w:start w:val="1"/>
      <w:numFmt w:val="decimal"/>
      <w:lvlText w:val="%7."/>
      <w:lvlJc w:val="left"/>
      <w:pPr>
        <w:ind w:left="4635" w:hanging="360"/>
      </w:pPr>
    </w:lvl>
    <w:lvl w:ilvl="7" w:tplc="080A0019" w:tentative="1">
      <w:start w:val="1"/>
      <w:numFmt w:val="lowerLetter"/>
      <w:lvlText w:val="%8."/>
      <w:lvlJc w:val="left"/>
      <w:pPr>
        <w:ind w:left="5355" w:hanging="360"/>
      </w:pPr>
    </w:lvl>
    <w:lvl w:ilvl="8" w:tplc="080A001B" w:tentative="1">
      <w:start w:val="1"/>
      <w:numFmt w:val="lowerRoman"/>
      <w:lvlText w:val="%9."/>
      <w:lvlJc w:val="right"/>
      <w:pPr>
        <w:ind w:left="6075" w:hanging="180"/>
      </w:pPr>
    </w:lvl>
  </w:abstractNum>
  <w:abstractNum w:abstractNumId="35" w15:restartNumberingAfterBreak="0">
    <w:nsid w:val="624E24A0"/>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36053D"/>
    <w:multiLevelType w:val="multilevel"/>
    <w:tmpl w:val="5F8AC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D97E32"/>
    <w:multiLevelType w:val="multilevel"/>
    <w:tmpl w:val="21DA00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F61FEA"/>
    <w:multiLevelType w:val="multilevel"/>
    <w:tmpl w:val="248A07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D0407E5"/>
    <w:multiLevelType w:val="hybridMultilevel"/>
    <w:tmpl w:val="1D3AB72E"/>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40A392A">
      <w:start w:val="6"/>
      <w:numFmt w:val="bullet"/>
      <w:lvlText w:val="-"/>
      <w:lvlJc w:val="left"/>
      <w:pPr>
        <w:ind w:left="2880" w:hanging="360"/>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861336"/>
    <w:multiLevelType w:val="hybridMultilevel"/>
    <w:tmpl w:val="62C6C15A"/>
    <w:lvl w:ilvl="0" w:tplc="080A000F">
      <w:start w:val="1"/>
      <w:numFmt w:val="decimal"/>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1" w15:restartNumberingAfterBreak="0">
    <w:nsid w:val="773F6CEE"/>
    <w:multiLevelType w:val="hybridMultilevel"/>
    <w:tmpl w:val="B02C257C"/>
    <w:lvl w:ilvl="0" w:tplc="C9322CA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2" w15:restartNumberingAfterBreak="0">
    <w:nsid w:val="77856C2F"/>
    <w:multiLevelType w:val="multilevel"/>
    <w:tmpl w:val="500C48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8534795"/>
    <w:multiLevelType w:val="hybridMultilevel"/>
    <w:tmpl w:val="B65EB1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7123FC"/>
    <w:multiLevelType w:val="multilevel"/>
    <w:tmpl w:val="53C62A5C"/>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6"/>
  </w:num>
  <w:num w:numId="3">
    <w:abstractNumId w:val="9"/>
  </w:num>
  <w:num w:numId="4">
    <w:abstractNumId w:val="24"/>
  </w:num>
  <w:num w:numId="5">
    <w:abstractNumId w:val="18"/>
  </w:num>
  <w:num w:numId="6">
    <w:abstractNumId w:val="44"/>
  </w:num>
  <w:num w:numId="7">
    <w:abstractNumId w:val="25"/>
  </w:num>
  <w:num w:numId="8">
    <w:abstractNumId w:val="38"/>
  </w:num>
  <w:num w:numId="9">
    <w:abstractNumId w:val="37"/>
  </w:num>
  <w:num w:numId="10">
    <w:abstractNumId w:val="42"/>
  </w:num>
  <w:num w:numId="11">
    <w:abstractNumId w:val="17"/>
  </w:num>
  <w:num w:numId="12">
    <w:abstractNumId w:val="36"/>
  </w:num>
  <w:num w:numId="13">
    <w:abstractNumId w:val="14"/>
  </w:num>
  <w:num w:numId="14">
    <w:abstractNumId w:val="28"/>
  </w:num>
  <w:num w:numId="15">
    <w:abstractNumId w:val="8"/>
  </w:num>
  <w:num w:numId="16">
    <w:abstractNumId w:val="15"/>
  </w:num>
  <w:num w:numId="17">
    <w:abstractNumId w:val="13"/>
  </w:num>
  <w:num w:numId="18">
    <w:abstractNumId w:val="32"/>
  </w:num>
  <w:num w:numId="19">
    <w:abstractNumId w:val="23"/>
  </w:num>
  <w:num w:numId="20">
    <w:abstractNumId w:val="12"/>
  </w:num>
  <w:num w:numId="21">
    <w:abstractNumId w:val="20"/>
  </w:num>
  <w:num w:numId="22">
    <w:abstractNumId w:val="30"/>
  </w:num>
  <w:num w:numId="23">
    <w:abstractNumId w:val="22"/>
  </w:num>
  <w:num w:numId="24">
    <w:abstractNumId w:val="41"/>
  </w:num>
  <w:num w:numId="25">
    <w:abstractNumId w:val="40"/>
  </w:num>
  <w:num w:numId="26">
    <w:abstractNumId w:val="14"/>
  </w:num>
  <w:num w:numId="27">
    <w:abstractNumId w:val="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26"/>
  </w:num>
  <w:num w:numId="36">
    <w:abstractNumId w:val="19"/>
  </w:num>
  <w:num w:numId="37">
    <w:abstractNumId w:val="10"/>
  </w:num>
  <w:num w:numId="38">
    <w:abstractNumId w:val="39"/>
  </w:num>
  <w:num w:numId="39">
    <w:abstractNumId w:val="31"/>
  </w:num>
  <w:num w:numId="40">
    <w:abstractNumId w:val="27"/>
  </w:num>
  <w:num w:numId="41">
    <w:abstractNumId w:val="29"/>
  </w:num>
  <w:num w:numId="42">
    <w:abstractNumId w:val="21"/>
  </w:num>
  <w:num w:numId="43">
    <w:abstractNumId w:val="35"/>
  </w:num>
  <w:num w:numId="44">
    <w:abstractNumId w:val="43"/>
  </w:num>
  <w:num w:numId="45">
    <w:abstractNumId w:val="1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7Bh/Tx1xNu5pFZTQOEz/sFNK9U37cfq4Y8NpXnFnocmdyUmyekvnMaNcVRsnFIArLow+BWCOd0P3P1xTp/KMg==" w:salt="XAn4W/vB9iT91GONQOCws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97"/>
    <w:rsid w:val="00007C6D"/>
    <w:rsid w:val="000122F0"/>
    <w:rsid w:val="00013E3E"/>
    <w:rsid w:val="000179F0"/>
    <w:rsid w:val="00032C87"/>
    <w:rsid w:val="00040F44"/>
    <w:rsid w:val="00043842"/>
    <w:rsid w:val="0006536D"/>
    <w:rsid w:val="00066C00"/>
    <w:rsid w:val="00070463"/>
    <w:rsid w:val="000757C4"/>
    <w:rsid w:val="000861A1"/>
    <w:rsid w:val="00090E31"/>
    <w:rsid w:val="00094A49"/>
    <w:rsid w:val="000A1367"/>
    <w:rsid w:val="000A28F8"/>
    <w:rsid w:val="000A3720"/>
    <w:rsid w:val="000B55F0"/>
    <w:rsid w:val="000C115F"/>
    <w:rsid w:val="000C46E7"/>
    <w:rsid w:val="000D62B5"/>
    <w:rsid w:val="000E52AC"/>
    <w:rsid w:val="000E6665"/>
    <w:rsid w:val="000F30BD"/>
    <w:rsid w:val="001064E6"/>
    <w:rsid w:val="001112E1"/>
    <w:rsid w:val="00113EFB"/>
    <w:rsid w:val="00125713"/>
    <w:rsid w:val="00131390"/>
    <w:rsid w:val="00134997"/>
    <w:rsid w:val="00135C24"/>
    <w:rsid w:val="00142481"/>
    <w:rsid w:val="00144E90"/>
    <w:rsid w:val="0014696F"/>
    <w:rsid w:val="00153E05"/>
    <w:rsid w:val="00157962"/>
    <w:rsid w:val="00162063"/>
    <w:rsid w:val="00166EB0"/>
    <w:rsid w:val="00183915"/>
    <w:rsid w:val="00184D8D"/>
    <w:rsid w:val="00192E24"/>
    <w:rsid w:val="001A7DF6"/>
    <w:rsid w:val="001B3434"/>
    <w:rsid w:val="001B65E3"/>
    <w:rsid w:val="001B70E0"/>
    <w:rsid w:val="001C0502"/>
    <w:rsid w:val="001D6762"/>
    <w:rsid w:val="001E6DCF"/>
    <w:rsid w:val="001F3406"/>
    <w:rsid w:val="001F6853"/>
    <w:rsid w:val="00200ECF"/>
    <w:rsid w:val="00217AD5"/>
    <w:rsid w:val="002241C6"/>
    <w:rsid w:val="00225849"/>
    <w:rsid w:val="002266AE"/>
    <w:rsid w:val="0023345C"/>
    <w:rsid w:val="002354B0"/>
    <w:rsid w:val="00242585"/>
    <w:rsid w:val="00251A65"/>
    <w:rsid w:val="00252D0F"/>
    <w:rsid w:val="00256D07"/>
    <w:rsid w:val="002632EC"/>
    <w:rsid w:val="00270470"/>
    <w:rsid w:val="00277A98"/>
    <w:rsid w:val="00291604"/>
    <w:rsid w:val="002A616E"/>
    <w:rsid w:val="002A7859"/>
    <w:rsid w:val="002B5CDB"/>
    <w:rsid w:val="002C3DBF"/>
    <w:rsid w:val="002D2EF9"/>
    <w:rsid w:val="002D72FD"/>
    <w:rsid w:val="002E27AB"/>
    <w:rsid w:val="00301331"/>
    <w:rsid w:val="0030148E"/>
    <w:rsid w:val="00301FD7"/>
    <w:rsid w:val="00306B40"/>
    <w:rsid w:val="00315CF7"/>
    <w:rsid w:val="00316613"/>
    <w:rsid w:val="00320E11"/>
    <w:rsid w:val="00320F75"/>
    <w:rsid w:val="003336DD"/>
    <w:rsid w:val="00340876"/>
    <w:rsid w:val="0034654B"/>
    <w:rsid w:val="00355DB4"/>
    <w:rsid w:val="00356A8B"/>
    <w:rsid w:val="00362981"/>
    <w:rsid w:val="00363325"/>
    <w:rsid w:val="00365814"/>
    <w:rsid w:val="00385ABC"/>
    <w:rsid w:val="003878EB"/>
    <w:rsid w:val="0039740E"/>
    <w:rsid w:val="003E147F"/>
    <w:rsid w:val="003E51D3"/>
    <w:rsid w:val="00423700"/>
    <w:rsid w:val="00425981"/>
    <w:rsid w:val="00434450"/>
    <w:rsid w:val="0043584B"/>
    <w:rsid w:val="0044477E"/>
    <w:rsid w:val="00461300"/>
    <w:rsid w:val="00464339"/>
    <w:rsid w:val="004721A9"/>
    <w:rsid w:val="00490787"/>
    <w:rsid w:val="004928F9"/>
    <w:rsid w:val="00496457"/>
    <w:rsid w:val="004A0AB9"/>
    <w:rsid w:val="004B1BAC"/>
    <w:rsid w:val="004B3EF4"/>
    <w:rsid w:val="004B3F4A"/>
    <w:rsid w:val="004B5D4F"/>
    <w:rsid w:val="004B753B"/>
    <w:rsid w:val="004C56F6"/>
    <w:rsid w:val="004C79A4"/>
    <w:rsid w:val="004D67B4"/>
    <w:rsid w:val="004E4695"/>
    <w:rsid w:val="004F5A0A"/>
    <w:rsid w:val="004F7AE4"/>
    <w:rsid w:val="005009E1"/>
    <w:rsid w:val="00505FE6"/>
    <w:rsid w:val="00512A2E"/>
    <w:rsid w:val="00515081"/>
    <w:rsid w:val="00516B0B"/>
    <w:rsid w:val="00530B3F"/>
    <w:rsid w:val="00532228"/>
    <w:rsid w:val="00532E97"/>
    <w:rsid w:val="00537C8F"/>
    <w:rsid w:val="005408B2"/>
    <w:rsid w:val="0054189C"/>
    <w:rsid w:val="0054556B"/>
    <w:rsid w:val="00550527"/>
    <w:rsid w:val="00555C97"/>
    <w:rsid w:val="00560CCA"/>
    <w:rsid w:val="00563CB3"/>
    <w:rsid w:val="005649AF"/>
    <w:rsid w:val="00566999"/>
    <w:rsid w:val="00571892"/>
    <w:rsid w:val="00590F41"/>
    <w:rsid w:val="005954D9"/>
    <w:rsid w:val="005A2D33"/>
    <w:rsid w:val="005B4664"/>
    <w:rsid w:val="005C3B91"/>
    <w:rsid w:val="005C4D4F"/>
    <w:rsid w:val="005E7D78"/>
    <w:rsid w:val="005F0065"/>
    <w:rsid w:val="0060062D"/>
    <w:rsid w:val="006015F5"/>
    <w:rsid w:val="00601821"/>
    <w:rsid w:val="006072E4"/>
    <w:rsid w:val="00607CAE"/>
    <w:rsid w:val="00611597"/>
    <w:rsid w:val="006140C5"/>
    <w:rsid w:val="006202A6"/>
    <w:rsid w:val="00636033"/>
    <w:rsid w:val="0064697F"/>
    <w:rsid w:val="00661F20"/>
    <w:rsid w:val="006627B4"/>
    <w:rsid w:val="006660C1"/>
    <w:rsid w:val="006712C2"/>
    <w:rsid w:val="00686743"/>
    <w:rsid w:val="00690DB4"/>
    <w:rsid w:val="006935DC"/>
    <w:rsid w:val="00697366"/>
    <w:rsid w:val="00697D5C"/>
    <w:rsid w:val="006B4F9D"/>
    <w:rsid w:val="006B587F"/>
    <w:rsid w:val="006B5BDE"/>
    <w:rsid w:val="006B5E7C"/>
    <w:rsid w:val="006B656F"/>
    <w:rsid w:val="006C3C81"/>
    <w:rsid w:val="006C57A4"/>
    <w:rsid w:val="006D170C"/>
    <w:rsid w:val="006E1716"/>
    <w:rsid w:val="006E5014"/>
    <w:rsid w:val="006F1E93"/>
    <w:rsid w:val="00711C0B"/>
    <w:rsid w:val="00721CDD"/>
    <w:rsid w:val="00725B91"/>
    <w:rsid w:val="00732A96"/>
    <w:rsid w:val="00782358"/>
    <w:rsid w:val="0078603D"/>
    <w:rsid w:val="0078618C"/>
    <w:rsid w:val="007962EC"/>
    <w:rsid w:val="007B18BF"/>
    <w:rsid w:val="007C1CBC"/>
    <w:rsid w:val="007C6481"/>
    <w:rsid w:val="007D52A0"/>
    <w:rsid w:val="0080073A"/>
    <w:rsid w:val="00810B44"/>
    <w:rsid w:val="00830BA3"/>
    <w:rsid w:val="00831453"/>
    <w:rsid w:val="00840FA8"/>
    <w:rsid w:val="00841DCD"/>
    <w:rsid w:val="00842873"/>
    <w:rsid w:val="0088396B"/>
    <w:rsid w:val="0089520B"/>
    <w:rsid w:val="00895CFD"/>
    <w:rsid w:val="008A779D"/>
    <w:rsid w:val="008B431C"/>
    <w:rsid w:val="008C0D4A"/>
    <w:rsid w:val="008C13D2"/>
    <w:rsid w:val="008C49FA"/>
    <w:rsid w:val="008D1B7F"/>
    <w:rsid w:val="008D6699"/>
    <w:rsid w:val="008E4264"/>
    <w:rsid w:val="008F10DE"/>
    <w:rsid w:val="008F516F"/>
    <w:rsid w:val="00927A47"/>
    <w:rsid w:val="0093762E"/>
    <w:rsid w:val="009437D4"/>
    <w:rsid w:val="00960D30"/>
    <w:rsid w:val="00967E05"/>
    <w:rsid w:val="009713D1"/>
    <w:rsid w:val="00976717"/>
    <w:rsid w:val="00980D46"/>
    <w:rsid w:val="009A2D63"/>
    <w:rsid w:val="009A7CFF"/>
    <w:rsid w:val="009B1910"/>
    <w:rsid w:val="009B452A"/>
    <w:rsid w:val="009B58FB"/>
    <w:rsid w:val="009B5DE4"/>
    <w:rsid w:val="009E50CA"/>
    <w:rsid w:val="009E7E01"/>
    <w:rsid w:val="009F0D21"/>
    <w:rsid w:val="009F6CAB"/>
    <w:rsid w:val="00A1249E"/>
    <w:rsid w:val="00A15FAB"/>
    <w:rsid w:val="00A25C11"/>
    <w:rsid w:val="00A35D82"/>
    <w:rsid w:val="00A403FA"/>
    <w:rsid w:val="00A41EE5"/>
    <w:rsid w:val="00A4374E"/>
    <w:rsid w:val="00A51D23"/>
    <w:rsid w:val="00A525C7"/>
    <w:rsid w:val="00A548CA"/>
    <w:rsid w:val="00A55D18"/>
    <w:rsid w:val="00A809AA"/>
    <w:rsid w:val="00AA3FC3"/>
    <w:rsid w:val="00AB0F28"/>
    <w:rsid w:val="00AC2FE9"/>
    <w:rsid w:val="00AD2A37"/>
    <w:rsid w:val="00AD3323"/>
    <w:rsid w:val="00AE6D3F"/>
    <w:rsid w:val="00AE76E6"/>
    <w:rsid w:val="00AF669A"/>
    <w:rsid w:val="00B014FA"/>
    <w:rsid w:val="00B06F57"/>
    <w:rsid w:val="00B1341B"/>
    <w:rsid w:val="00B17D9C"/>
    <w:rsid w:val="00B23ACD"/>
    <w:rsid w:val="00B24AEC"/>
    <w:rsid w:val="00B337A1"/>
    <w:rsid w:val="00B35B27"/>
    <w:rsid w:val="00B418A7"/>
    <w:rsid w:val="00B53D0C"/>
    <w:rsid w:val="00B5544B"/>
    <w:rsid w:val="00B5685D"/>
    <w:rsid w:val="00B734C3"/>
    <w:rsid w:val="00B866D3"/>
    <w:rsid w:val="00B96B6B"/>
    <w:rsid w:val="00BB2E52"/>
    <w:rsid w:val="00BE64C2"/>
    <w:rsid w:val="00BF32D7"/>
    <w:rsid w:val="00BF5CB2"/>
    <w:rsid w:val="00C21CC1"/>
    <w:rsid w:val="00C22259"/>
    <w:rsid w:val="00C25366"/>
    <w:rsid w:val="00C30818"/>
    <w:rsid w:val="00C30F59"/>
    <w:rsid w:val="00C347FD"/>
    <w:rsid w:val="00C4055A"/>
    <w:rsid w:val="00C410F1"/>
    <w:rsid w:val="00C63505"/>
    <w:rsid w:val="00C64E94"/>
    <w:rsid w:val="00C805EC"/>
    <w:rsid w:val="00C82E11"/>
    <w:rsid w:val="00C87F42"/>
    <w:rsid w:val="00C91D24"/>
    <w:rsid w:val="00C945CC"/>
    <w:rsid w:val="00C97742"/>
    <w:rsid w:val="00CA5954"/>
    <w:rsid w:val="00CA75F6"/>
    <w:rsid w:val="00CB2054"/>
    <w:rsid w:val="00CB690F"/>
    <w:rsid w:val="00CE0057"/>
    <w:rsid w:val="00CE30ED"/>
    <w:rsid w:val="00D00A76"/>
    <w:rsid w:val="00D16113"/>
    <w:rsid w:val="00D166EC"/>
    <w:rsid w:val="00D2206A"/>
    <w:rsid w:val="00D30CE0"/>
    <w:rsid w:val="00D332EE"/>
    <w:rsid w:val="00D344A6"/>
    <w:rsid w:val="00D36A7A"/>
    <w:rsid w:val="00D4751C"/>
    <w:rsid w:val="00D50F1A"/>
    <w:rsid w:val="00D52582"/>
    <w:rsid w:val="00D6489F"/>
    <w:rsid w:val="00D66908"/>
    <w:rsid w:val="00D96865"/>
    <w:rsid w:val="00DA2105"/>
    <w:rsid w:val="00DB7B84"/>
    <w:rsid w:val="00DD24EB"/>
    <w:rsid w:val="00DE4909"/>
    <w:rsid w:val="00DF6426"/>
    <w:rsid w:val="00E01DED"/>
    <w:rsid w:val="00E12413"/>
    <w:rsid w:val="00E13A1F"/>
    <w:rsid w:val="00E14AA5"/>
    <w:rsid w:val="00E16AA4"/>
    <w:rsid w:val="00E328B4"/>
    <w:rsid w:val="00E5183B"/>
    <w:rsid w:val="00E6409C"/>
    <w:rsid w:val="00E64C76"/>
    <w:rsid w:val="00E65F0B"/>
    <w:rsid w:val="00E73EC7"/>
    <w:rsid w:val="00E8337C"/>
    <w:rsid w:val="00E83C77"/>
    <w:rsid w:val="00E86285"/>
    <w:rsid w:val="00E946F2"/>
    <w:rsid w:val="00EA31DA"/>
    <w:rsid w:val="00EA6049"/>
    <w:rsid w:val="00EB0E7E"/>
    <w:rsid w:val="00EB3BCC"/>
    <w:rsid w:val="00EC432B"/>
    <w:rsid w:val="00EC6D6B"/>
    <w:rsid w:val="00EF1C31"/>
    <w:rsid w:val="00EF2794"/>
    <w:rsid w:val="00EF4EF8"/>
    <w:rsid w:val="00EF5895"/>
    <w:rsid w:val="00EF7997"/>
    <w:rsid w:val="00F00613"/>
    <w:rsid w:val="00F01C6D"/>
    <w:rsid w:val="00F03867"/>
    <w:rsid w:val="00F13B65"/>
    <w:rsid w:val="00F15551"/>
    <w:rsid w:val="00F2214D"/>
    <w:rsid w:val="00F73C17"/>
    <w:rsid w:val="00F84CC5"/>
    <w:rsid w:val="00FA42C3"/>
    <w:rsid w:val="00FA7724"/>
    <w:rsid w:val="00FB059A"/>
    <w:rsid w:val="00FB16FE"/>
    <w:rsid w:val="00FC11C3"/>
    <w:rsid w:val="00FC64BB"/>
    <w:rsid w:val="00FF6A2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5417C7"/>
  <w15:docId w15:val="{1FBE36D8-9D71-4237-A578-6AB7D831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MX" w:eastAsia="es-ES" w:bidi="ar-SA"/>
      </w:rPr>
    </w:rPrDefault>
    <w:pPrDefault>
      <w:pPr>
        <w:spacing w:after="120"/>
        <w:ind w:left="31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144"/>
      <w:ind w:left="0" w:firstLine="0"/>
      <w:outlineLvl w:val="0"/>
    </w:pPr>
    <w:rPr>
      <w:rFonts w:ascii="Arial" w:eastAsia="Arial" w:hAnsi="Arial" w:cs="Arial"/>
      <w:b/>
      <w:color w:val="4F6228"/>
      <w:sz w:val="22"/>
      <w:szCs w:val="22"/>
    </w:rPr>
  </w:style>
  <w:style w:type="paragraph" w:styleId="Ttulo2">
    <w:name w:val="heading 2"/>
    <w:basedOn w:val="Normal"/>
    <w:next w:val="Normal"/>
    <w:pPr>
      <w:keepNext/>
      <w:keepLines/>
      <w:spacing w:before="200"/>
      <w:ind w:left="0" w:firstLine="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ind w:left="0" w:firstLine="0"/>
      <w:outlineLvl w:val="2"/>
    </w:pPr>
    <w:rPr>
      <w:rFonts w:ascii="Cambria" w:eastAsia="Cambria" w:hAnsi="Cambria" w:cs="Cambria"/>
      <w:b/>
      <w:color w:val="4F81BD"/>
    </w:rPr>
  </w:style>
  <w:style w:type="paragraph" w:styleId="Ttulo4">
    <w:name w:val="heading 4"/>
    <w:basedOn w:val="Normal"/>
    <w:next w:val="Normal"/>
    <w:pPr>
      <w:keepNext/>
      <w:keepLines/>
      <w:spacing w:before="200"/>
      <w:ind w:left="0" w:firstLine="0"/>
      <w:outlineLvl w:val="3"/>
    </w:pPr>
    <w:rPr>
      <w:rFonts w:ascii="Cambria" w:eastAsia="Cambria" w:hAnsi="Cambria" w:cs="Cambria"/>
      <w:b/>
      <w:i/>
      <w:color w:val="4F81BD"/>
    </w:rPr>
  </w:style>
  <w:style w:type="paragraph" w:styleId="Ttulo5">
    <w:name w:val="heading 5"/>
    <w:basedOn w:val="Normal"/>
    <w:next w:val="Normal"/>
    <w:pPr>
      <w:keepNext/>
      <w:keepLines/>
      <w:spacing w:before="200"/>
      <w:ind w:left="0" w:firstLine="0"/>
      <w:outlineLvl w:val="4"/>
    </w:pPr>
    <w:rPr>
      <w:rFonts w:ascii="Cambria" w:eastAsia="Cambria" w:hAnsi="Cambria" w:cs="Cambria"/>
      <w:color w:val="243F61"/>
    </w:rPr>
  </w:style>
  <w:style w:type="paragraph" w:styleId="Ttulo6">
    <w:name w:val="heading 6"/>
    <w:basedOn w:val="Normal"/>
    <w:next w:val="Normal"/>
    <w:pPr>
      <w:keepNext/>
      <w:keepLines/>
      <w:spacing w:before="200"/>
      <w:ind w:left="0" w:firstLine="0"/>
      <w:outlineLvl w:val="5"/>
    </w:pPr>
    <w:rPr>
      <w:rFonts w:ascii="Cambria" w:eastAsia="Cambria" w:hAnsi="Cambria" w:cs="Cambria"/>
      <w:i/>
      <w:color w:val="243F61"/>
    </w:rPr>
  </w:style>
  <w:style w:type="paragraph" w:styleId="Ttulo7">
    <w:name w:val="heading 7"/>
    <w:basedOn w:val="Normal"/>
    <w:next w:val="Normal"/>
    <w:link w:val="Ttulo7Car"/>
    <w:uiPriority w:val="9"/>
    <w:semiHidden/>
    <w:unhideWhenUsed/>
    <w:qFormat/>
    <w:rsid w:val="007D52A0"/>
    <w:pPr>
      <w:keepNext/>
      <w:keepLines/>
      <w:spacing w:before="40" w:after="0"/>
      <w:ind w:left="0" w:firstLine="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7D52A0"/>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D52A0"/>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spacing w:after="160"/>
    </w:pPr>
    <w:rPr>
      <w:b/>
      <w:color w:val="4F81BD"/>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pPr>
    <w:tblPr>
      <w:tblStyleRowBandSize w:val="1"/>
      <w:tblStyleColBandSize w:val="1"/>
      <w:tblCellMar>
        <w:left w:w="108" w:type="dxa"/>
        <w:right w:w="108" w:type="dxa"/>
      </w:tblCellMar>
    </w:tblPr>
  </w:style>
  <w:style w:type="table" w:customStyle="1" w:styleId="a3">
    <w:basedOn w:val="TableNormal"/>
    <w:pPr>
      <w:spacing w:after="0"/>
    </w:pPr>
    <w:tblPr>
      <w:tblStyleRowBandSize w:val="1"/>
      <w:tblStyleColBandSize w:val="1"/>
      <w:tblCellMar>
        <w:left w:w="108" w:type="dxa"/>
        <w:right w:w="108" w:type="dxa"/>
      </w:tblCellMar>
    </w:tblPr>
  </w:style>
  <w:style w:type="paragraph" w:styleId="Encabezado">
    <w:name w:val="header"/>
    <w:basedOn w:val="Normal"/>
    <w:link w:val="EncabezadoCar"/>
    <w:unhideWhenUsed/>
    <w:rsid w:val="00AD2A37"/>
    <w:pPr>
      <w:tabs>
        <w:tab w:val="center" w:pos="4252"/>
        <w:tab w:val="right" w:pos="8504"/>
      </w:tabs>
      <w:spacing w:after="0"/>
    </w:pPr>
  </w:style>
  <w:style w:type="character" w:customStyle="1" w:styleId="EncabezadoCar">
    <w:name w:val="Encabezado Car"/>
    <w:basedOn w:val="Fuentedeprrafopredeter"/>
    <w:link w:val="Encabezado"/>
    <w:rsid w:val="00AD2A37"/>
  </w:style>
  <w:style w:type="paragraph" w:styleId="Piedepgina">
    <w:name w:val="footer"/>
    <w:basedOn w:val="Normal"/>
    <w:link w:val="PiedepginaCar"/>
    <w:uiPriority w:val="99"/>
    <w:unhideWhenUsed/>
    <w:rsid w:val="00AD2A37"/>
    <w:pPr>
      <w:tabs>
        <w:tab w:val="center" w:pos="4252"/>
        <w:tab w:val="right" w:pos="8504"/>
      </w:tabs>
      <w:spacing w:after="0"/>
    </w:pPr>
  </w:style>
  <w:style w:type="character" w:customStyle="1" w:styleId="PiedepginaCar">
    <w:name w:val="Pie de página Car"/>
    <w:basedOn w:val="Fuentedeprrafopredeter"/>
    <w:link w:val="Piedepgina"/>
    <w:uiPriority w:val="99"/>
    <w:rsid w:val="00AD2A37"/>
  </w:style>
  <w:style w:type="character" w:customStyle="1" w:styleId="Ttulo7Car">
    <w:name w:val="Título 7 Car"/>
    <w:basedOn w:val="Fuentedeprrafopredeter"/>
    <w:link w:val="Ttulo7"/>
    <w:uiPriority w:val="9"/>
    <w:semiHidden/>
    <w:rsid w:val="007D52A0"/>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D52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D52A0"/>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link w:val="PrrafodelistaCar"/>
    <w:uiPriority w:val="34"/>
    <w:qFormat/>
    <w:rsid w:val="008F10DE"/>
    <w:pPr>
      <w:ind w:left="720"/>
      <w:contextualSpacing/>
    </w:pPr>
  </w:style>
  <w:style w:type="character" w:customStyle="1" w:styleId="shorttext">
    <w:name w:val="short_text"/>
    <w:basedOn w:val="Fuentedeprrafopredeter"/>
    <w:rsid w:val="00C91D24"/>
  </w:style>
  <w:style w:type="paragraph" w:customStyle="1" w:styleId="Default">
    <w:name w:val="Default"/>
    <w:rsid w:val="00D96865"/>
    <w:pPr>
      <w:autoSpaceDE w:val="0"/>
      <w:autoSpaceDN w:val="0"/>
      <w:adjustRightInd w:val="0"/>
      <w:spacing w:after="0"/>
      <w:ind w:left="0" w:firstLine="0"/>
    </w:pPr>
    <w:rPr>
      <w:rFonts w:ascii="Verdana" w:hAnsi="Verdana" w:cs="Verdana"/>
      <w:color w:val="000000"/>
      <w:sz w:val="24"/>
      <w:szCs w:val="24"/>
    </w:rPr>
  </w:style>
  <w:style w:type="table" w:styleId="Tablaconcuadrcula">
    <w:name w:val="Table Grid"/>
    <w:basedOn w:val="Tablanormal"/>
    <w:uiPriority w:val="39"/>
    <w:rsid w:val="00B96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57C4"/>
    <w:pPr>
      <w:spacing w:after="0"/>
    </w:pPr>
  </w:style>
  <w:style w:type="character" w:customStyle="1" w:styleId="TextonotapieCar">
    <w:name w:val="Texto nota pie Car"/>
    <w:basedOn w:val="Fuentedeprrafopredeter"/>
    <w:link w:val="Textonotapie"/>
    <w:uiPriority w:val="99"/>
    <w:semiHidden/>
    <w:rsid w:val="000757C4"/>
  </w:style>
  <w:style w:type="character" w:styleId="Refdenotaalpie">
    <w:name w:val="footnote reference"/>
    <w:basedOn w:val="Fuentedeprrafopredeter"/>
    <w:uiPriority w:val="99"/>
    <w:semiHidden/>
    <w:unhideWhenUsed/>
    <w:rsid w:val="000757C4"/>
    <w:rPr>
      <w:vertAlign w:val="superscript"/>
    </w:rPr>
  </w:style>
  <w:style w:type="paragraph" w:customStyle="1" w:styleId="Ttulo11">
    <w:name w:val="Título 11"/>
    <w:basedOn w:val="Normal"/>
    <w:rsid w:val="00AD3323"/>
    <w:pPr>
      <w:numPr>
        <w:numId w:val="13"/>
      </w:numPr>
    </w:pPr>
  </w:style>
  <w:style w:type="paragraph" w:customStyle="1" w:styleId="Ttulo21">
    <w:name w:val="Título 21"/>
    <w:basedOn w:val="Normal"/>
    <w:rsid w:val="00AD3323"/>
    <w:pPr>
      <w:numPr>
        <w:ilvl w:val="1"/>
        <w:numId w:val="13"/>
      </w:numPr>
    </w:pPr>
  </w:style>
  <w:style w:type="paragraph" w:customStyle="1" w:styleId="Ttulo31">
    <w:name w:val="Título 31"/>
    <w:basedOn w:val="Normal"/>
    <w:rsid w:val="00AD3323"/>
    <w:pPr>
      <w:numPr>
        <w:ilvl w:val="2"/>
        <w:numId w:val="13"/>
      </w:numPr>
    </w:pPr>
  </w:style>
  <w:style w:type="paragraph" w:customStyle="1" w:styleId="Ttulo41">
    <w:name w:val="Título 41"/>
    <w:basedOn w:val="Normal"/>
    <w:rsid w:val="00AD3323"/>
    <w:pPr>
      <w:numPr>
        <w:ilvl w:val="3"/>
        <w:numId w:val="13"/>
      </w:numPr>
    </w:pPr>
  </w:style>
  <w:style w:type="paragraph" w:customStyle="1" w:styleId="Ttulo51">
    <w:name w:val="Título 51"/>
    <w:basedOn w:val="Normal"/>
    <w:rsid w:val="00AD3323"/>
    <w:pPr>
      <w:numPr>
        <w:ilvl w:val="4"/>
        <w:numId w:val="13"/>
      </w:numPr>
    </w:pPr>
  </w:style>
  <w:style w:type="paragraph" w:customStyle="1" w:styleId="Ttulo61">
    <w:name w:val="Título 61"/>
    <w:basedOn w:val="Normal"/>
    <w:rsid w:val="00AD3323"/>
    <w:pPr>
      <w:numPr>
        <w:ilvl w:val="5"/>
        <w:numId w:val="13"/>
      </w:numPr>
    </w:pPr>
  </w:style>
  <w:style w:type="paragraph" w:customStyle="1" w:styleId="Ttulo71">
    <w:name w:val="Título 71"/>
    <w:basedOn w:val="Normal"/>
    <w:rsid w:val="00AD3323"/>
    <w:pPr>
      <w:numPr>
        <w:ilvl w:val="6"/>
        <w:numId w:val="13"/>
      </w:numPr>
    </w:pPr>
  </w:style>
  <w:style w:type="paragraph" w:customStyle="1" w:styleId="Ttulo81">
    <w:name w:val="Título 81"/>
    <w:basedOn w:val="Normal"/>
    <w:rsid w:val="00AD3323"/>
    <w:pPr>
      <w:numPr>
        <w:ilvl w:val="7"/>
        <w:numId w:val="13"/>
      </w:numPr>
    </w:pPr>
  </w:style>
  <w:style w:type="paragraph" w:customStyle="1" w:styleId="Ttulo91">
    <w:name w:val="Título 91"/>
    <w:basedOn w:val="Normal"/>
    <w:rsid w:val="00AD3323"/>
    <w:pPr>
      <w:numPr>
        <w:ilvl w:val="8"/>
        <w:numId w:val="13"/>
      </w:numPr>
    </w:pPr>
  </w:style>
  <w:style w:type="character" w:styleId="Hipervnculo">
    <w:name w:val="Hyperlink"/>
    <w:basedOn w:val="Fuentedeprrafopredeter"/>
    <w:uiPriority w:val="99"/>
    <w:unhideWhenUsed/>
    <w:rsid w:val="00E946F2"/>
    <w:rPr>
      <w:color w:val="0000FF" w:themeColor="hyperlink"/>
      <w:u w:val="single"/>
    </w:rPr>
  </w:style>
  <w:style w:type="character" w:customStyle="1" w:styleId="Mencinsinresolver1">
    <w:name w:val="Mención sin resolver1"/>
    <w:basedOn w:val="Fuentedeprrafopredeter"/>
    <w:uiPriority w:val="99"/>
    <w:semiHidden/>
    <w:unhideWhenUsed/>
    <w:rsid w:val="00E946F2"/>
    <w:rPr>
      <w:color w:val="605E5C"/>
      <w:shd w:val="clear" w:color="auto" w:fill="E1DFDD"/>
    </w:rPr>
  </w:style>
  <w:style w:type="paragraph" w:customStyle="1" w:styleId="Estilo1">
    <w:name w:val="Estilo1"/>
    <w:basedOn w:val="Prrafodelista"/>
    <w:link w:val="Estilo1Car"/>
    <w:qFormat/>
    <w:rsid w:val="00365814"/>
    <w:pPr>
      <w:numPr>
        <w:numId w:val="36"/>
      </w:numPr>
      <w:autoSpaceDE w:val="0"/>
      <w:autoSpaceDN w:val="0"/>
      <w:adjustRightInd w:val="0"/>
      <w:spacing w:before="240" w:after="240"/>
      <w:ind w:left="567" w:hanging="567"/>
      <w:contextualSpacing w:val="0"/>
      <w:jc w:val="both"/>
    </w:pPr>
    <w:rPr>
      <w:rFonts w:ascii="Arial" w:hAnsi="Arial" w:cs="Arial"/>
      <w:b/>
      <w:bCs/>
      <w:color w:val="9BBB59" w:themeColor="accent3"/>
      <w:sz w:val="24"/>
      <w:szCs w:val="24"/>
      <w:lang w:val="es-ES"/>
    </w:rPr>
  </w:style>
  <w:style w:type="character" w:customStyle="1" w:styleId="PrrafodelistaCar">
    <w:name w:val="Párrafo de lista Car"/>
    <w:basedOn w:val="Fuentedeprrafopredeter"/>
    <w:link w:val="Prrafodelista"/>
    <w:uiPriority w:val="34"/>
    <w:rsid w:val="00AC2FE9"/>
  </w:style>
  <w:style w:type="character" w:customStyle="1" w:styleId="Estilo1Car">
    <w:name w:val="Estilo1 Car"/>
    <w:basedOn w:val="PrrafodelistaCar"/>
    <w:link w:val="Estilo1"/>
    <w:rsid w:val="00365814"/>
    <w:rPr>
      <w:rFonts w:ascii="Arial" w:hAnsi="Arial" w:cs="Arial"/>
      <w:b/>
      <w:bCs/>
      <w:color w:val="9BBB59" w:themeColor="accent3"/>
      <w:sz w:val="24"/>
      <w:szCs w:val="24"/>
      <w:lang w:val="es-ES"/>
    </w:rPr>
  </w:style>
  <w:style w:type="paragraph" w:styleId="TDC1">
    <w:name w:val="toc 1"/>
    <w:basedOn w:val="Normal"/>
    <w:next w:val="Normal"/>
    <w:autoRedefine/>
    <w:uiPriority w:val="39"/>
    <w:semiHidden/>
    <w:unhideWhenUsed/>
    <w:rsid w:val="000B55F0"/>
    <w:pPr>
      <w:spacing w:after="100"/>
      <w:ind w:left="0"/>
    </w:pPr>
  </w:style>
  <w:style w:type="paragraph" w:styleId="Textodeglobo">
    <w:name w:val="Balloon Text"/>
    <w:basedOn w:val="Normal"/>
    <w:link w:val="TextodegloboCar"/>
    <w:uiPriority w:val="99"/>
    <w:semiHidden/>
    <w:unhideWhenUsed/>
    <w:rsid w:val="0078618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18C"/>
    <w:rPr>
      <w:rFonts w:ascii="Segoe UI" w:hAnsi="Segoe UI" w:cs="Segoe UI"/>
      <w:sz w:val="18"/>
      <w:szCs w:val="18"/>
    </w:rPr>
  </w:style>
  <w:style w:type="paragraph" w:styleId="Textoindependiente">
    <w:name w:val="Body Text"/>
    <w:basedOn w:val="Normal"/>
    <w:link w:val="TextoindependienteCar"/>
    <w:uiPriority w:val="1"/>
    <w:qFormat/>
    <w:rsid w:val="000D62B5"/>
    <w:pPr>
      <w:widowControl w:val="0"/>
      <w:autoSpaceDE w:val="0"/>
      <w:autoSpaceDN w:val="0"/>
      <w:spacing w:after="0"/>
      <w:ind w:left="113" w:firstLine="0"/>
      <w:jc w:val="both"/>
    </w:pPr>
    <w:rPr>
      <w:rFonts w:ascii="Arial" w:eastAsia="Arial" w:hAnsi="Arial" w:cs="Arial"/>
      <w:lang w:val="en-US" w:eastAsia="en-US" w:bidi="en-US"/>
    </w:rPr>
  </w:style>
  <w:style w:type="character" w:customStyle="1" w:styleId="TextoindependienteCar">
    <w:name w:val="Texto independiente Car"/>
    <w:basedOn w:val="Fuentedeprrafopredeter"/>
    <w:link w:val="Textoindependiente"/>
    <w:uiPriority w:val="1"/>
    <w:rsid w:val="000D62B5"/>
    <w:rPr>
      <w:rFonts w:ascii="Arial" w:eastAsia="Arial" w:hAnsi="Arial" w:cs="Arial"/>
      <w:lang w:val="en-US" w:eastAsia="en-US" w:bidi="en-US"/>
    </w:rPr>
  </w:style>
  <w:style w:type="character" w:styleId="Textodelmarcadordeposicin">
    <w:name w:val="Placeholder Text"/>
    <w:basedOn w:val="Fuentedeprrafopredeter"/>
    <w:uiPriority w:val="99"/>
    <w:semiHidden/>
    <w:rsid w:val="00007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6221">
      <w:bodyDiv w:val="1"/>
      <w:marLeft w:val="0"/>
      <w:marRight w:val="0"/>
      <w:marTop w:val="0"/>
      <w:marBottom w:val="0"/>
      <w:divBdr>
        <w:top w:val="none" w:sz="0" w:space="0" w:color="auto"/>
        <w:left w:val="none" w:sz="0" w:space="0" w:color="auto"/>
        <w:bottom w:val="none" w:sz="0" w:space="0" w:color="auto"/>
        <w:right w:val="none" w:sz="0" w:space="0" w:color="auto"/>
      </w:divBdr>
    </w:div>
    <w:div w:id="213782434">
      <w:bodyDiv w:val="1"/>
      <w:marLeft w:val="0"/>
      <w:marRight w:val="0"/>
      <w:marTop w:val="0"/>
      <w:marBottom w:val="0"/>
      <w:divBdr>
        <w:top w:val="none" w:sz="0" w:space="0" w:color="auto"/>
        <w:left w:val="none" w:sz="0" w:space="0" w:color="auto"/>
        <w:bottom w:val="none" w:sz="0" w:space="0" w:color="auto"/>
        <w:right w:val="none" w:sz="0" w:space="0" w:color="auto"/>
      </w:divBdr>
    </w:div>
    <w:div w:id="238442275">
      <w:bodyDiv w:val="1"/>
      <w:marLeft w:val="0"/>
      <w:marRight w:val="0"/>
      <w:marTop w:val="0"/>
      <w:marBottom w:val="0"/>
      <w:divBdr>
        <w:top w:val="none" w:sz="0" w:space="0" w:color="auto"/>
        <w:left w:val="none" w:sz="0" w:space="0" w:color="auto"/>
        <w:bottom w:val="none" w:sz="0" w:space="0" w:color="auto"/>
        <w:right w:val="none" w:sz="0" w:space="0" w:color="auto"/>
      </w:divBdr>
    </w:div>
    <w:div w:id="462500201">
      <w:bodyDiv w:val="1"/>
      <w:marLeft w:val="0"/>
      <w:marRight w:val="0"/>
      <w:marTop w:val="0"/>
      <w:marBottom w:val="0"/>
      <w:divBdr>
        <w:top w:val="none" w:sz="0" w:space="0" w:color="auto"/>
        <w:left w:val="none" w:sz="0" w:space="0" w:color="auto"/>
        <w:bottom w:val="none" w:sz="0" w:space="0" w:color="auto"/>
        <w:right w:val="none" w:sz="0" w:space="0" w:color="auto"/>
      </w:divBdr>
    </w:div>
    <w:div w:id="1461605521">
      <w:bodyDiv w:val="1"/>
      <w:marLeft w:val="0"/>
      <w:marRight w:val="0"/>
      <w:marTop w:val="0"/>
      <w:marBottom w:val="0"/>
      <w:divBdr>
        <w:top w:val="none" w:sz="0" w:space="0" w:color="auto"/>
        <w:left w:val="none" w:sz="0" w:space="0" w:color="auto"/>
        <w:bottom w:val="none" w:sz="0" w:space="0" w:color="auto"/>
        <w:right w:val="none" w:sz="0" w:space="0" w:color="auto"/>
      </w:divBdr>
    </w:div>
    <w:div w:id="155099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A0D82A3-CBBB-4344-97C2-8D8BCF8343A2}"/>
      </w:docPartPr>
      <w:docPartBody>
        <w:p w:rsidR="001F7CE2" w:rsidRDefault="00712149">
          <w:r w:rsidRPr="00847B4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49"/>
    <w:rsid w:val="001F7CE2"/>
    <w:rsid w:val="00712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121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020E-6342-DD44-A457-6AFB9542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984</Words>
  <Characters>5412</Characters>
  <Application>Microsoft Office Word</Application>
  <DocSecurity>0</DocSecurity>
  <Lines>45</Lines>
  <Paragraphs>12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dc:creator>
  <cp:lastModifiedBy>Encargada de Precios y Proyectos Normativos</cp:lastModifiedBy>
  <cp:revision>24</cp:revision>
  <cp:lastPrinted>2020-09-10T22:23:00Z</cp:lastPrinted>
  <dcterms:created xsi:type="dcterms:W3CDTF">2020-11-25T01:49:00Z</dcterms:created>
  <dcterms:modified xsi:type="dcterms:W3CDTF">2021-02-16T23:05:00Z</dcterms:modified>
</cp:coreProperties>
</file>